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Chars="62"/>
        <w:jc w:val="center"/>
        <w:rPr>
          <w:rFonts w:eastAsia="黑体"/>
          <w:sz w:val="32"/>
          <w:szCs w:val="32"/>
        </w:rPr>
      </w:pPr>
      <w:r>
        <w:rPr>
          <w:rFonts w:ascii="黑体" w:hAnsi="黑体" w:eastAsia="黑体"/>
          <w:b/>
          <w:sz w:val="32"/>
          <w:szCs w:val="32"/>
        </w:rPr>
        <w:t>FocusWave：面向注意状态的无感多模态智能测评系统</w:t>
      </w:r>
    </w:p>
    <w:p w14:paraId="5E116F39">
      <w:pPr>
        <w:ind w:firstLine="0" w:firstLineChars="0"/>
        <w:rPr>
          <w:lang w:eastAsia="zh"/>
        </w:rPr>
      </w:pPr>
      <w:r>
        <w:rPr>
          <w:rFonts w:hint="eastAsia"/>
          <w:b/>
          <w:bCs/>
          <w:sz w:val="24"/>
          <w:szCs w:val="24"/>
        </w:rPr>
        <w:t>摘要 持续注意并非由单次行为反应或单一生理信号直接可观测，其变化同时表现为行为、主观、眼部、心肺与外显行为的波动。研究以游戏化持续性注意反应任务为测量情境，经两阶段预实验确定任务负荷与刺激序列；61 名参与者完成 116 个实验场次，每场两个相同的任务区块，同步记录行为、思维探针、近红外瞳孔、毫米波与 RGB 视频。以行为与思维探针为认知参照，检验瞳孔几何、心率呼吸、可见行为特征与注意状态的效标关联，并在共同样本上比较各模态相对行为基准的预测增量。结果显示：瞳孔与 Go 遗漏及“大脑空白”报告相关，呼吸频率与警觉程度相关，眨眼候选事件率随任务进程升高并与较低警觉相关；各模态预测增量总体较小，其中 RGB 提供小幅稳定增益。行为与主观报告仍是当前最有效的测评参照，无感传感通道提供过程信息与连续监测可能。</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jc w:val="center"/>
      </w:pPr>
      <w:r>
        <w:rPr>
          <w:rFonts w:ascii="Times New Roman" w:hAnsi="Times New Roman" w:eastAsia="宋体"/>
          <w:b/>
          <w:sz w:val="21"/>
        </w:rPr>
        <w:t>表 1 常见持续注意测量方法比较</w:t>
      </w:r>
    </w:p>
    <w:p>
      <w:pPr>
        <w:spacing w:line="360" w:lineRule="auto"/>
        <w:ind w:firstLine="420"/>
        <w:jc w:val="both"/>
      </w:pPr>
      <w:r>
        <w:rPr>
          <w:rFonts w:ascii="Times New Roman" w:hAnsi="Times New Roman" w:eastAsia="宋体"/>
          <w:b w:val="0"/>
          <w:sz w:val="21"/>
        </w:rPr>
        <w:t>因此，现有测量方法更适合按“能够观察什么”和“主要受什么限制”来比较，而更适合按观察层面与限制条件区分。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pPr>
        <w:pStyle w:val="4"/>
      </w:pPr>
      <w:r>
        <w:t>2.4 现有测评技术与无感连续传感</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61 名参与者完成 116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试次时间结构与关键时间节点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视觉刺激序列</w:t>
      </w:r>
    </w:p>
    <w:p w14:paraId="7DCC92AB">
      <w:pPr>
        <w:pStyle w:val="35"/>
        <w:ind w:firstLine="420"/>
      </w:pPr>
      <w:r>
        <w:rPr>
          <w:rFonts w:hint="eastAsia"/>
        </w:rPr>
        <w:t>注：图 3 和图 4 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减少了探针出现频率，控制参与者的被打断感。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实验开始时主试讲解实验要求和目的，参与者需要全程尽量保持直坐、不动</w:t>
      </w:r>
      <w:commentRangeStart w:id="8"/>
      <w:r>
        <w:rPr>
          <w:rFonts w:hint="eastAsia"/>
          <w:lang w:eastAsia="zh" w:bidi="ar"/>
        </w:rPr>
        <w:t>（见图 8）</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2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5BA25335">
      <w:pPr>
        <w:pStyle w:val="4"/>
      </w:pPr>
      <w:r>
        <w:t>4.5.1 行为与思维探针</w:t>
      </w:r>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321B1309">
      <w:pPr>
        <w:pStyle w:val="4"/>
      </w:pPr>
      <w:r>
        <w:t>4.5.2 近红外瞳孔测量</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pPr>
        <w:jc w:val="center"/>
      </w:pPr>
      <m:oMath>
        <m:r>
          <m:rPr/>
          <w:rPr>
            <w:rFonts w:ascii="Cambria Math" w:hAnsi="Cambria Math"/>
            <w:lang w:eastAsia="zh" w:bidi="ar"/>
          </w:rPr>
          <m:t>Y=0.2126R+0.7152G+0.0722B</m:t>
        </m:r>
      </m:oMath>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057EC486">
      <w:pPr>
        <w:pStyle w:val="4"/>
      </w:pPr>
      <w:r>
        <w:t>4.5.4 毫米波心肺相关活动与身体微动</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FFT；时频融合用于纠正呼吸谐波引起的锁半频；逐搏间期与心率变异性指标不进入正式分析。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误按等二元结局采用按参与者聚类的广义估计方程（GEE），正确 Go 反应时以及 NIR、RGB 和毫米波连续指标采用线性混合效应模型（LMM）。Block 内 6 个连续时间段的变化采用广义估计方程（generalized estimating equations, GEE）分析 Block、时间及其交互作用（Liang &amp; Zeger, 1986）。第一问思维探针按四类别名义变量分析，第二问按四级有序变量分析。</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6DE8827A">
      <w:pPr>
        <w:ind w:firstLine="420"/>
        <w:jc w:val="both"/>
      </w:pPr>
      <w:r>
        <w:rPr>
          <w:rFonts w:ascii="Times New Roman" w:hAnsi="Times New Roman" w:eastAsia="宋体"/>
          <w:b w:val="0"/>
          <w:sz w:val="21"/>
        </w:rPr>
        <w:t>更复杂的多模态模型作为补充预测分析。在简单特征级融合形成稳定基准后，如需要可进一步比较更复杂的模型。只有当复杂模型在相同的参与者独立验证中表现出稳定的额外预测收益时，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3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6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 Go 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4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真遗漏率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预判遗漏率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5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4" name="Picture 168859622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5" name="Picture 168859622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窗口上核验当前估计器；参与者为定向选择，覆盖此前发现的锁半频与数据空洞问题类型，因此该对照用于核验完整链对锁半频的纠正与误差量级，不构成对全部正式场次精度的无偏估计。30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5 名佩戴 ECG 金标准参与者中取 3 名共 60 个探针前 30 s 窗口，毫米波融合心率与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116 个场次中 115 个具有可用视频记录（1 个场次无 RGB 源），探针前 30 s 窗口按 116 场口径共 2,320 个，无源场次的窗口按缺失处理。身体运动、曝光变化、姿态方向与眨眼候选按探针前窗口和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个测试折因该参与者测试折中类别不全而无法定义 ROC-AUC，表中为该指标可定义折的均值。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等描述的是状态片段内的事件相关变化，探针层模型未单独报告瞳孔两个分量的系数。瞳孔与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pPr>
        <w:ind w:firstLine="420"/>
        <w:jc w:val="both"/>
      </w:pPr>
      <w:r>
        <w:rPr>
          <w:rFonts w:ascii="Times New Roman" w:hAnsi="Times New Roman" w:eastAsia="宋体"/>
          <w:b w:val="0"/>
          <w:sz w:val="21"/>
        </w:rPr>
        <w:t>多模态增量与测量边界已在上述结果中呈现，本节在此基础上说明局限与后续方向。</w:t>
      </w: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信号辅助训练无感单模态模型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26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27 无感测评原型平台界面（移动端）</w:t>
      </w:r>
    </w:p>
    <w:p w14:paraId="76BC5C3A">
      <w:pPr>
        <w:pStyle w:val="4"/>
        <w:rPr>
          <w:lang w:eastAsia="zh-CN"/>
        </w:rPr>
      </w:pPr>
      <w:r>
        <w:rPr>
          <w:rFonts w:hint="eastAsia"/>
          <w:lang w:eastAsia="zh-CN"/>
        </w:rPr>
        <w:t>参考文献</w:t>
      </w:r>
    </w:p>
    <w:p>
      <w:pPr>
        <w:spacing w:line="360" w:lineRule="auto"/>
        <w:ind w:hanging="420"/>
      </w:pPr>
      <w:r>
        <w:rPr>
          <w:rFonts w:ascii="Times New Roman" w:hAnsi="Times New Roman" w:eastAsia="宋体"/>
          <w:sz w:val="21"/>
        </w:rPr>
        <w:t>Zhu, J., Cao, J., Yang, Y., Ren, W., &amp; Han, H. (2023). mmDrive: Fine-grained fatigue driving detection using mmWave radar. ACM Transactions on Internet of Things, 4(4), Article 26, 1–30. https://doi.org/10.1145/3614437</w:t>
      </w:r>
    </w:p>
    <w:p>
      <w:pPr>
        <w:spacing w:line="360" w:lineRule="auto"/>
        <w:ind w:hanging="420"/>
      </w:pPr>
      <w:r>
        <w:rPr>
          <w:rFonts w:ascii="Times New Roman" w:hAnsi="Times New Roman" w:eastAsia="宋体"/>
          <w:sz w:val="21"/>
        </w:rPr>
        <w:t>Younas, M., Zhang, J., Niaz, F., &amp; Xu, X. (2026). A novel contactless human attention and task focus estimation during tabletop object interactions using millimeter-wave radar. IEEE Internet of Things Journal, 13(11), 23400–23418. https://doi.org/10.1109/JIOT.2026.3670444</w:t>
      </w:r>
    </w:p>
    <w:p>
      <w:pPr>
        <w:spacing w:line="360" w:lineRule="auto"/>
        <w:ind w:hanging="420"/>
      </w:pPr>
      <w:r>
        <w:rPr>
          <w:rFonts w:ascii="Times New Roman" w:hAnsi="Times New Roman" w:eastAsia="宋体"/>
          <w:sz w:val="21"/>
        </w:rPr>
        <w:t>Wiemers, E. A., &amp; Redick, T. S. (2019). The influence of thought probes on performance: Does the mind wander more if you ask it? Psychonomic Bulletin &amp; Review, 26(1), 367–373. https://doi.org/10.3758/s13423-018-1529-3</w:t>
      </w:r>
    </w:p>
    <w:p>
      <w:pPr>
        <w:spacing w:line="360" w:lineRule="auto"/>
        <w:ind w:hanging="420"/>
      </w:pPr>
      <w:r>
        <w:rPr>
          <w:rFonts w:ascii="Times New Roman" w:hAnsi="Times New Roman" w:eastAsia="宋体"/>
          <w:sz w:val="21"/>
        </w:rPr>
        <w:t>Wang, F., Zeng, X., Wu, C., Wang, B., &amp; Liu, K. J. R. (2021). mmHRV: Contactless heart rate variability monitoring using millimeter-wave radio. IEEE Internet of Things Journal, 8(22), 16623–16636. https://doi.org/10.1109/JIOT.2021.3075167</w:t>
      </w:r>
    </w:p>
    <w:p>
      <w:pPr>
        <w:spacing w:line="360" w:lineRule="auto"/>
        <w:ind w:hanging="420"/>
      </w:pPr>
      <w:r>
        <w:rPr>
          <w:rFonts w:ascii="Times New Roman" w:hAnsi="Times New Roman" w:eastAsia="宋体"/>
          <w:sz w:val="21"/>
        </w:rPr>
        <w:t>Unsworth, N., Robison, M. K., &amp; Miller, A. L. (2018). Pupillary correlates of fluctuations in sustained attention. Journal of Cognitive Neuroscience, 30(9), 1241–1253. https://doi.org/10.1162/jocn_a_01251</w:t>
      </w:r>
    </w:p>
    <w:p>
      <w:pPr>
        <w:spacing w:line="360" w:lineRule="auto"/>
        <w:ind w:hanging="420"/>
      </w:pPr>
      <w:r>
        <w:rPr>
          <w:rFonts w:ascii="Times New Roman" w:hAnsi="Times New Roman" w:eastAsia="宋体"/>
          <w:sz w:val="21"/>
        </w:rPr>
        <w:t>Theil, H. (1950). A rank-invariant method of linear and polynomial regression analysis. Indagationes Mathematicae, 12, 85–91.</w:t>
      </w:r>
    </w:p>
    <w:p>
      <w:pPr>
        <w:spacing w:line="360" w:lineRule="auto"/>
        <w:ind w:hanging="420"/>
      </w:pPr>
      <w:r>
        <w:rPr>
          <w:rFonts w:ascii="Times New Roman" w:hAnsi="Times New Roman" w:eastAsia="宋体"/>
          <w:sz w:val="21"/>
        </w:rPr>
        <w:t>Smilek, D., Carriere, J. S. A., &amp; Cheyne, J. A. (2010). Out of mind, out of sight: Eye blinking as indicator and embodiment of mind wandering. Psychological Science, 21(6), 786–789. https://doi.org/10.1177/0956797610368063</w:t>
      </w:r>
    </w:p>
    <w:p>
      <w:pPr>
        <w:spacing w:line="360" w:lineRule="auto"/>
        <w:ind w:hanging="420"/>
      </w:pPr>
      <w:r>
        <w:rPr>
          <w:rFonts w:ascii="Times New Roman" w:hAnsi="Times New Roman" w:eastAsia="宋体"/>
          <w:sz w:val="21"/>
        </w:rPr>
        <w:t>Sorella, S., Matiz, A., Chittaro, L., Malinowski, P., &amp; Crescentini, C. (2026). Cardiac and ocular correlates of mind wandering in meditators and non-meditators during a sustained attention to response task. Current Psychology, 45, 1386. https://doi.org/10.1007/s12144-026-09946-1</w:t>
      </w:r>
    </w:p>
    <w:p>
      <w:pPr>
        <w:spacing w:line="360" w:lineRule="auto"/>
        <w:ind w:hanging="420"/>
      </w:pPr>
      <w:r>
        <w:rPr>
          <w:rFonts w:ascii="Times New Roman" w:hAnsi="Times New Roman" w:eastAsia="宋体"/>
          <w:sz w:val="21"/>
        </w:rPr>
        <w:t>Smallwood, J., Davies, J. B., Heim, D., Finnigan, F., Sudberry, M., O’Connor, R., &amp; Obonsawin, M. (2004). Subjective experience and the attentional lapse: Task engagement and disengagement during sustained attention. Consciousness and Cognition, 13(4), 657–690. https://doi.org/10.1016/j.concog.2004.06.003</w:t>
      </w:r>
    </w:p>
    <w:p>
      <w:pPr>
        <w:spacing w:line="360" w:lineRule="auto"/>
        <w:ind w:hanging="420"/>
      </w:pPr>
      <w:r>
        <w:rPr>
          <w:rFonts w:ascii="Times New Roman" w:hAnsi="Times New Roman" w:eastAsia="宋体"/>
          <w:sz w:val="21"/>
        </w:rPr>
        <w:t>Strauch, C., Wang, C.-A., Einhäuser, W., Van der Stigchel, S., &amp; Naber, M. (2022). Pupillometry as an integrated readout of distinct attentional networks. Trends in Neurosciences, 45(8), 635–647. https://doi.org/10.1016/j.tins.2022.05.003</w:t>
      </w:r>
    </w:p>
    <w:p>
      <w:pPr>
        <w:spacing w:line="360" w:lineRule="auto"/>
        <w:ind w:hanging="420"/>
      </w:pPr>
      <w:r>
        <w:rPr>
          <w:rFonts w:ascii="Times New Roman" w:hAnsi="Times New Roman" w:eastAsia="宋体"/>
          <w:sz w:val="21"/>
        </w:rPr>
        <w:t>Smallwood, J., &amp; Schooler, J. W. (2015). The science of mind wandering: Empirically navigating the stream of consciousness. Annual Review of Psychology, 66, 487–518. https://doi.org/10.1146/annurev-psych-010814-015331</w:t>
      </w:r>
    </w:p>
    <w:p>
      <w:pPr>
        <w:spacing w:line="360" w:lineRule="auto"/>
        <w:ind w:hanging="420"/>
      </w:pPr>
      <w:r>
        <w:rPr>
          <w:rFonts w:ascii="Times New Roman" w:hAnsi="Times New Roman" w:eastAsia="宋体"/>
          <w:sz w:val="21"/>
        </w:rPr>
        <w:t>Seli, P., Cheyne, J. A., Barton, K. R., &amp; Smilek, D. (2012). Consistency of sustained attention across modalities: Comparing visual and auditory versions of the SART. Canadian Journal of Experimental Psychology, 66(1), 44–50. https://doi.org/10.1037/a0025111</w:t>
      </w:r>
    </w:p>
    <w:p>
      <w:pPr>
        <w:spacing w:line="360" w:lineRule="auto"/>
        <w:ind w:hanging="420"/>
      </w:pPr>
      <w:r>
        <w:rPr>
          <w:rFonts w:ascii="Times New Roman" w:hAnsi="Times New Roman" w:eastAsia="宋体"/>
          <w:sz w:val="21"/>
        </w:rPr>
        <w:t>Smallwood, J., &amp; Schooler, J. W. (2006). The restless mind. Psychological Bulletin, 132(6), 946–958. https://doi.org/10.1037/0033-2909.132.6.946</w:t>
      </w:r>
    </w:p>
    <w:p>
      <w:pPr>
        <w:spacing w:line="360" w:lineRule="auto"/>
        <w:ind w:hanging="420"/>
      </w:pPr>
      <w:r>
        <w:rPr>
          <w:rFonts w:ascii="Times New Roman" w:hAnsi="Times New Roman" w:eastAsia="宋体"/>
          <w:sz w:val="21"/>
        </w:rPr>
        <w:t>Sarter, M., Givens, B., &amp; Bruno, J. P. (2001). The cognitive neuroscience of sustained attention: Where top-down meets bottom-up. Brain Research Reviews, 35(2), 146–160. https://doi.org/10.1016/S0165-0173(01)00044-3</w:t>
      </w:r>
    </w:p>
    <w:p>
      <w:pPr>
        <w:spacing w:line="360" w:lineRule="auto"/>
        <w:ind w:hanging="420"/>
      </w:pPr>
      <w:r>
        <w:rPr>
          <w:rFonts w:ascii="Times New Roman" w:hAnsi="Times New Roman" w:eastAsia="宋体"/>
          <w:sz w:val="21"/>
        </w:rPr>
        <w:t>Sen, P. K. (1968). Estimates of the regression coefficient based on Kendall's tau. Journal of the American Statistical Association, 63(324), 1379–1389. https://doi.org/10.1080/01621459.1968.10480934</w:t>
      </w:r>
    </w:p>
    <w:p>
      <w:pPr>
        <w:spacing w:line="360" w:lineRule="auto"/>
        <w:ind w:hanging="420"/>
      </w:pPr>
      <w:r>
        <w:rPr>
          <w:rFonts w:ascii="Times New Roman" w:hAnsi="Times New Roman" w:eastAsia="宋体"/>
          <w:sz w:val="21"/>
        </w:rPr>
        <w:t>Soukupová, T., &amp; Čech, J. (2016). Real-time eye blink detection using facial landmarks. In 21st Computer Vision Winter Workshop (pp. 1–8).</w:t>
      </w:r>
    </w:p>
    <w:p>
      <w:pPr>
        <w:spacing w:line="360" w:lineRule="auto"/>
        <w:ind w:hanging="420"/>
      </w:pPr>
      <w:r>
        <w:rPr>
          <w:rFonts w:ascii="Times New Roman" w:hAnsi="Times New Roman" w:eastAsia="宋体"/>
          <w:sz w:val="21"/>
        </w:rPr>
        <w:t>Robertson, I. H., Manly, T., Andrade, J., Baddeley, B. T., &amp; Yiend, J. (1997). ‘Oops!’: Performance correlates of everyday attentional failures in traumatic brain injured and normal subjects. Neuropsychologia, 35(6), 747–758. https://doi.org/10.1016/S0028-3932(97)00015-8</w:t>
      </w:r>
    </w:p>
    <w:p>
      <w:pPr>
        <w:spacing w:line="360" w:lineRule="auto"/>
        <w:ind w:hanging="420"/>
      </w:pPr>
      <w:r>
        <w:rPr>
          <w:rFonts w:ascii="Times New Roman" w:hAnsi="Times New Roman" w:eastAsia="宋体"/>
          <w:sz w:val="21"/>
        </w:rPr>
        <w:t>Redmon, J., Divvala, S., Girshick, R., &amp; Farhadi, A. (2016). You only look once: Unified, real-time object detection. In Proceedings of the IEEE Conference on Computer Vision and Pattern Recognition (pp. 779–788). IEEE. https://doi.org/10.1109/CVPR.2016.91</w:t>
      </w:r>
    </w:p>
    <w:p>
      <w:pPr>
        <w:spacing w:line="360" w:lineRule="auto"/>
        <w:ind w:hanging="420"/>
      </w:pPr>
      <w:r>
        <w:rPr>
          <w:rFonts w:ascii="Times New Roman" w:hAnsi="Times New Roman" w:eastAsia="宋体"/>
          <w:sz w:val="21"/>
        </w:rPr>
        <w:t>Paterniani, G., Sgreccia, D., Davoli, A., Guerzoni, G., Di Viesti, P., Valenti, A. C., Vitolo, M., Vitetta, G. M., &amp; Boriani, G. (2023). Radar-based monitoring of vital signs: A tutorial overview. Proceedings of the IEEE, 111(3), 277–317. https://doi.org/10.1109/JPROC.2023.3244362</w:t>
      </w:r>
    </w:p>
    <w:p>
      <w:pPr>
        <w:spacing w:line="360" w:lineRule="auto"/>
        <w:ind w:hanging="420"/>
      </w:pPr>
      <w:r>
        <w:rPr>
          <w:rFonts w:ascii="Times New Roman" w:hAnsi="Times New Roman" w:eastAsia="宋体"/>
          <w:sz w:val="21"/>
        </w:rPr>
        <w:t>Melnychuk, M. C., Dockree, P. M., O’Connell, R. G., Murphy, P. R., Balsters, J. H., &amp; Robertson, I. H. (2018). Coupling of respiration and attention via the locus coeruleus: Effects of meditation and pranayama. Psychophysiology, 55(9), e13091. https://doi.org/10.1111/psyp.13091</w:t>
      </w:r>
    </w:p>
    <w:p>
      <w:pPr>
        <w:spacing w:line="360" w:lineRule="auto"/>
        <w:ind w:hanging="420"/>
      </w:pPr>
      <w:r>
        <w:rPr>
          <w:rFonts w:ascii="Times New Roman" w:hAnsi="Times New Roman" w:eastAsia="宋体"/>
          <w:sz w:val="21"/>
        </w:rPr>
        <w:t>Mathôt, S., Fabius, J., Van Heusden, E., &amp; Van der Stigchel, S. (2018). Safe and sensible preprocessing and baseline correction of pupil-size data. Behavior Research Methods, 50(1), 94–106. https://doi.org/10.3758/s13428-017-1007-2</w:t>
      </w:r>
    </w:p>
    <w:p>
      <w:pPr>
        <w:spacing w:line="360" w:lineRule="auto"/>
        <w:ind w:hanging="420"/>
      </w:pPr>
      <w:r>
        <w:rPr>
          <w:rFonts w:ascii="Times New Roman" w:hAnsi="Times New Roman" w:eastAsia="宋体"/>
          <w:sz w:val="21"/>
        </w:rPr>
        <w:t>Mathôt, S. (2018). Pupillometry: Psychology, physiology, and function. Journal of Cognition, 1(1), 16. https://doi.org/10.5334/joc.18</w:t>
      </w:r>
    </w:p>
    <w:p>
      <w:pPr>
        <w:spacing w:line="360" w:lineRule="auto"/>
        <w:ind w:hanging="420"/>
      </w:pPr>
      <w:r>
        <w:rPr>
          <w:rFonts w:ascii="Times New Roman" w:hAnsi="Times New Roman" w:eastAsia="宋体"/>
          <w:sz w:val="21"/>
        </w:rPr>
        <w:t>Manly, T., Robertson, I. H., Galloway, M., &amp; Hawkins, K. (1999). The absent mind: Further investigations of sustained attention to response. Neuropsychologia, 37(6), 661–670. https://doi.org/10.1016/S0028-3932(98)00127-4</w:t>
      </w:r>
    </w:p>
    <w:p>
      <w:pPr>
        <w:spacing w:line="360" w:lineRule="auto"/>
        <w:ind w:hanging="420"/>
      </w:pPr>
      <w:r>
        <w:rPr>
          <w:rFonts w:ascii="Times New Roman" w:hAnsi="Times New Roman" w:eastAsia="宋体"/>
          <w:sz w:val="21"/>
        </w:rPr>
        <w:t>Macmillan, N. A., &amp; Creelman, C. D. (2005). Detection theory: A user's guide (2nd ed.). Psychology Press.</w:t>
      </w:r>
    </w:p>
    <w:p>
      <w:pPr>
        <w:spacing w:line="360" w:lineRule="auto"/>
        <w:ind w:hanging="420"/>
      </w:pPr>
      <w:r>
        <w:rPr>
          <w:rFonts w:ascii="Times New Roman" w:hAnsi="Times New Roman" w:eastAsia="宋体"/>
          <w:sz w:val="21"/>
        </w:rPr>
        <w:t>Liang, K.-Y., &amp; Zeger, S. L. (1986). Longitudinal data analysis using generalized linear models. Biometrika, 73(1), 13–22. https://doi.org/10.1093/biomet/73.1.13</w:t>
      </w:r>
    </w:p>
    <w:p>
      <w:pPr>
        <w:spacing w:line="360" w:lineRule="auto"/>
        <w:ind w:hanging="420"/>
      </w:pPr>
      <w:r>
        <w:rPr>
          <w:rFonts w:ascii="Times New Roman" w:hAnsi="Times New Roman" w:eastAsia="宋体"/>
          <w:sz w:val="21"/>
        </w:rPr>
        <w:t>Lugaresi, C., Tang, J., Nash, H., McClanahan, C., Uboweja, E., Hays, M., Zhang, F., Chang, C.-L., Yong, M. G., Lee, J., Chang, W.-T., Hua, W., Georg, M., &amp; Grundmann, M. (2019). MediaPipe: A framework for building perception pipelines. arXiv preprint arXiv:1906.08172.</w:t>
      </w:r>
    </w:p>
    <w:p>
      <w:pPr>
        <w:spacing w:line="360" w:lineRule="auto"/>
        <w:ind w:hanging="420"/>
      </w:pPr>
      <w:r>
        <w:rPr>
          <w:rFonts w:ascii="Times New Roman" w:hAnsi="Times New Roman" w:eastAsia="宋体"/>
          <w:sz w:val="21"/>
        </w:rPr>
        <w:t>Kret, M. E., &amp; Sjak-Shie, E. E. (2019). Preprocessing pupil size data: Guidelines and code. Behavior Research Methods, 51(3), 1336–1342. https://doi.org/10.3758/s13428-018-1075-y</w:t>
      </w:r>
    </w:p>
    <w:p>
      <w:pPr>
        <w:spacing w:line="360" w:lineRule="auto"/>
        <w:ind w:hanging="420"/>
      </w:pPr>
      <w:r>
        <w:rPr>
          <w:rFonts w:ascii="Times New Roman" w:hAnsi="Times New Roman" w:eastAsia="宋体"/>
          <w:sz w:val="21"/>
        </w:rPr>
        <w:t>Kim, J. H., Yin, C., Merriam, E. P., &amp; Roth, Z. N. (2023). Pupil size is sensitive to low-level stimulus features, independent of arousal-related modulation. eNeuro, 10(10), ENEURO.0005-23.2023. https://doi.org/10.1523/ENEURO.0005-23.2023</w:t>
      </w:r>
    </w:p>
    <w:p>
      <w:pPr>
        <w:spacing w:line="360" w:lineRule="auto"/>
        <w:ind w:hanging="420"/>
      </w:pPr>
      <w:r>
        <w:rPr>
          <w:rFonts w:ascii="Times New Roman" w:hAnsi="Times New Roman" w:eastAsia="宋体"/>
          <w:sz w:val="21"/>
        </w:rPr>
        <w:t>Hansen, A. L., Johnsen, B. H., &amp; Thayer, J. F. (2003). Vagal influence on working memory and attention. International Journal of Psychophysiology, 48(3), 263–274. https://doi.org/10.1016/S0167-8760(03)00073-4</w:t>
      </w:r>
    </w:p>
    <w:p>
      <w:pPr>
        <w:spacing w:line="360" w:lineRule="auto"/>
        <w:ind w:hanging="420"/>
      </w:pPr>
      <w:r>
        <w:rPr>
          <w:rFonts w:ascii="Times New Roman" w:hAnsi="Times New Roman" w:eastAsia="宋体"/>
          <w:sz w:val="21"/>
        </w:rPr>
        <w:t>Ge, Y., Wei, Y., Guo, X., Xie, Y., Wang, Y., Cheng, J., &amp; Chen, Y. (2024). Towards contactless human concentration monitoring using mmWave signals. In Proceedings of the 2024 IEEE 10th International Conference on Collaboration and Internet Computing (CIC 2024) (pp. 19–28). IEEE. https://doi.org/10.1109/CIC62241.2024.00013</w:t>
      </w:r>
    </w:p>
    <w:p>
      <w:pPr>
        <w:spacing w:line="360" w:lineRule="auto"/>
        <w:ind w:hanging="420"/>
      </w:pPr>
      <w:r>
        <w:rPr>
          <w:rFonts w:ascii="Times New Roman" w:hAnsi="Times New Roman" w:eastAsia="宋体"/>
          <w:sz w:val="21"/>
        </w:rPr>
        <w:t>Farley, J., Risko, E. F., &amp; Kingstone, A. (2013). Everyday attention and lecture retention: The effects of time, fidgeting, and mind wandering. Frontiers in Psychology, 4, 619. https://doi.org/10.3389/fpsyg.2013.00619</w:t>
      </w:r>
    </w:p>
    <w:p>
      <w:pPr>
        <w:spacing w:line="360" w:lineRule="auto"/>
        <w:ind w:hanging="420"/>
      </w:pPr>
      <w:r>
        <w:rPr>
          <w:rFonts w:ascii="Times New Roman" w:hAnsi="Times New Roman" w:eastAsia="宋体"/>
          <w:sz w:val="21"/>
        </w:rPr>
        <w:t>Efron, B., &amp; Tibshirani, R. J. (1994). An introduction to the bootstrap. CRC Press.</w:t>
      </w:r>
    </w:p>
    <w:p>
      <w:pPr>
        <w:spacing w:line="360" w:lineRule="auto"/>
        <w:ind w:hanging="420"/>
      </w:pPr>
      <w:r>
        <w:rPr>
          <w:rFonts w:ascii="Times New Roman" w:hAnsi="Times New Roman" w:eastAsia="宋体"/>
          <w:sz w:val="21"/>
        </w:rPr>
        <w:t>D'Mello, S. K., &amp; Kory, J. (2015). A review and meta-analysis of multimodal affect detection systems. ACM Computing Surveys, 47(3), Article 43, 1–36. https://doi.org/10.1145/2682899</w:t>
      </w:r>
    </w:p>
    <w:p>
      <w:pPr>
        <w:spacing w:line="360" w:lineRule="auto"/>
        <w:ind w:hanging="420"/>
      </w:pPr>
      <w:r>
        <w:rPr>
          <w:rFonts w:ascii="Times New Roman" w:hAnsi="Times New Roman" w:eastAsia="宋体"/>
          <w:sz w:val="21"/>
        </w:rPr>
        <w:t>Dragomiretskiy, K., &amp; Zosso, D. (2014). Variational mode decomposition. IEEE Transactions on Signal Processing, 62(3), 531–544. https://doi.org/10.1109/TSP.2013.2288675</w:t>
      </w:r>
    </w:p>
    <w:p>
      <w:pPr>
        <w:spacing w:line="360" w:lineRule="auto"/>
        <w:ind w:hanging="420"/>
      </w:pPr>
      <w:r>
        <w:rPr>
          <w:rFonts w:ascii="Times New Roman" w:hAnsi="Times New Roman" w:eastAsia="宋体"/>
          <w:sz w:val="21"/>
        </w:rPr>
        <w:t>Curran, P. J., &amp; Bauer, D. J. (2011). The disaggregation of within-person and between-person effects in longitudinal models of change. Annual Review of Psychology, 62, 583–619. https://doi.org/10.1146/annurev.psych.093008.100356</w:t>
      </w:r>
    </w:p>
    <w:p>
      <w:pPr>
        <w:spacing w:line="360" w:lineRule="auto"/>
        <w:ind w:hanging="420"/>
      </w:pPr>
      <w:r>
        <w:rPr>
          <w:rFonts w:ascii="Times New Roman" w:hAnsi="Times New Roman" w:eastAsia="宋体"/>
          <w:sz w:val="21"/>
        </w:rPr>
        <w:t>Cronbach, L. J., &amp; Meehl, P. E. (1955). Construct validity in psychological tests. Psychological Bulletin, 52(4), 281–302. https://doi.org/10.1037/h0040957</w:t>
      </w:r>
    </w:p>
    <w:p>
      <w:pPr>
        <w:spacing w:line="360" w:lineRule="auto"/>
        <w:ind w:hanging="420"/>
      </w:pPr>
      <w:r>
        <w:rPr>
          <w:rFonts w:ascii="Times New Roman" w:hAnsi="Times New Roman" w:eastAsia="宋体"/>
          <w:sz w:val="21"/>
        </w:rPr>
        <w:t>Campbell, D. T., &amp; Fiske, D. W. (1959). Convergent and discriminant validation by the multitrait-multimethod matrix. Psychological Bulletin, 56(2), 81–105. https://doi.org/10.1037/h0046016</w:t>
      </w:r>
    </w:p>
    <w:p>
      <w:pPr>
        <w:spacing w:line="360" w:lineRule="auto"/>
        <w:ind w:hanging="420"/>
      </w:pPr>
      <w:r>
        <w:rPr>
          <w:rFonts w:ascii="Times New Roman" w:hAnsi="Times New Roman" w:eastAsia="宋体"/>
          <w:sz w:val="21"/>
        </w:rPr>
        <w:t>Chen, Y., Yuan, J., &amp; Tang, J. (2024). A high precision vital signs detection method based on millimeter wave radar. Scientific Reports, 14, 25535. https://doi.org/10.1038/s41598-024-77683-1</w:t>
      </w:r>
    </w:p>
    <w:p>
      <w:pPr>
        <w:spacing w:line="360" w:lineRule="auto"/>
        <w:ind w:hanging="420"/>
      </w:pPr>
      <w:r>
        <w:rPr>
          <w:rFonts w:ascii="Times New Roman" w:hAnsi="Times New Roman" w:eastAsia="宋体"/>
          <w:sz w:val="21"/>
        </w:rPr>
        <w:t>Carriere, J. S. A., Seli, P., &amp; Smilek, D. (2013). Wandering in both mind and body: Individual differences in mind wandering and inattention predict fidgeting. Canadian Journal of Experimental Psychology, 67(1), 19–31. https://doi.org/10.1037/a0031438</w:t>
      </w:r>
    </w:p>
    <w:p>
      <w:pPr>
        <w:spacing w:line="360" w:lineRule="auto"/>
        <w:ind w:hanging="420"/>
      </w:pPr>
      <w:r>
        <w:rPr>
          <w:rFonts w:ascii="Times New Roman" w:hAnsi="Times New Roman" w:eastAsia="宋体"/>
          <w:sz w:val="21"/>
        </w:rPr>
        <w:t>Corcoran, A. W., Le Coz, A., Hohwy, J., &amp; Andrillon, T. (2025). When your heart isn’t in it anymore: Cardiac correlates of task disengagement. Communications Biology, 8, 1646. https://doi.org/10.1038/s42003-025-09026-3</w:t>
      </w:r>
    </w:p>
    <w:p>
      <w:pPr>
        <w:spacing w:line="360" w:lineRule="auto"/>
        <w:ind w:hanging="420"/>
      </w:pPr>
      <w:r>
        <w:rPr>
          <w:rFonts w:ascii="Times New Roman" w:hAnsi="Times New Roman" w:eastAsia="宋体"/>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pPr>
        <w:spacing w:line="360" w:lineRule="auto"/>
        <w:ind w:hanging="420"/>
      </w:pPr>
      <w:r>
        <w:rPr>
          <w:rFonts w:ascii="Times New Roman" w:hAnsi="Times New Roman" w:eastAsia="宋体"/>
          <w:sz w:val="21"/>
        </w:rPr>
        <w:t>Baltrušaitis, T., Ahuja, C., &amp; Morency, L.-P. (2019). Multimodal machine learning: A survey and taxonomy. IEEE Transactions on Pattern Analysis and Machine Intelligence, 41(2), 423–443. https://doi.org/10.1109/TPAMI.2018.2798607</w:t>
      </w:r>
    </w:p>
    <w:p>
      <w:pPr>
        <w:spacing w:line="360" w:lineRule="auto"/>
        <w:ind w:hanging="420"/>
      </w:pPr>
      <w:r>
        <w:rPr>
          <w:rFonts w:ascii="Times New Roman" w:hAnsi="Times New Roman" w:eastAsia="宋体"/>
          <w:sz w:val="21"/>
        </w:rPr>
        <w:t>Barry, C., De Souza, J., Xuan, Y., Holden, J., Granholm, E., &amp; Wang, E. J. (2022). At-home pupillometry using smartphone facial identification cameras. In CHI Conference on Human Factors in Computing Systems (Article 235, pp. 1–12). Association for Computing Machinery. https://doi.org/10.1145/3491102.3502493</w:t>
      </w:r>
    </w:p>
    <w:p>
      <w:pPr>
        <w:spacing w:line="360" w:lineRule="auto"/>
        <w:ind w:hanging="420"/>
      </w:pPr>
      <w:r>
        <w:rPr>
          <w:rFonts w:ascii="Times New Roman" w:hAnsi="Times New Roman" w:eastAsia="宋体"/>
          <w:sz w:val="21"/>
        </w:rPr>
        <w:t>Bosch, N., &amp; D'Mello, S. K. (2021). Automatic detection of mind wandering from video in the lab and in the classroom. IEEE Transactions on Affective Computing, 12(4), 974–988. https://doi.org/10.1109/TAFFC.2019.2908837</w:t>
      </w:r>
    </w:p>
    <w:p>
      <w:pPr>
        <w:spacing w:line="360" w:lineRule="auto"/>
        <w:ind w:hanging="420"/>
      </w:pPr>
      <w:r>
        <w:rPr>
          <w:rFonts w:ascii="Times New Roman" w:hAnsi="Times New Roman" w:eastAsia="宋体"/>
          <w:sz w:val="21"/>
        </w:rPr>
        <w:t>Bazarevsky, V., Grishchenko, I., Raveendran, K., Zhu, T., Zhang, F., &amp; Grundmann, M. (2020). BlazePose: On-device real-time body pose tracking. arXiv preprint arXiv:2006.10204.。应用层面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