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2C5E7D">
      <w:pPr>
        <w:widowControl w:val="0"/>
        <w:spacing w:line="480" w:lineRule="auto"/>
        <w:ind w:firstLine="880"/>
        <w:jc w:val="center"/>
        <w:rPr>
          <w:rFonts w:ascii="Calibri" w:hAnsi="Calibri" w:cs="Times New Roman"/>
          <w:sz w:val="44"/>
          <w:szCs w:val="44"/>
          <w14:ligatures w14:val="none"/>
        </w:rPr>
      </w:pPr>
    </w:p>
    <w:p w14:paraId="6931C7AF">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第二届“厚粲杯”全国大学生</w:t>
      </w:r>
    </w:p>
    <w:p w14:paraId="35C68274">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心理与认知智能测评挑战赛</w:t>
      </w:r>
    </w:p>
    <w:p w14:paraId="1B877BFA">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参赛作品报告</w:t>
      </w:r>
    </w:p>
    <w:p w14:paraId="37ABE583">
      <w:pPr>
        <w:widowControl w:val="0"/>
        <w:spacing w:line="480" w:lineRule="auto"/>
        <w:ind w:firstLine="0" w:firstLineChars="0"/>
        <w:jc w:val="center"/>
        <w:rPr>
          <w:rFonts w:hint="eastAsia" w:ascii="宋体" w:hAnsi="宋体" w:cs="黑体"/>
          <w:bCs/>
          <w:kern w:val="0"/>
          <w:sz w:val="40"/>
          <w:szCs w:val="40"/>
          <w:lang w:bidi="ar"/>
          <w14:ligatures w14:val="none"/>
        </w:rPr>
      </w:pPr>
    </w:p>
    <w:p w14:paraId="58909533">
      <w:pPr>
        <w:widowControl w:val="0"/>
        <w:spacing w:line="480" w:lineRule="auto"/>
        <w:ind w:firstLine="0" w:firstLineChars="0"/>
        <w:jc w:val="center"/>
        <w:rPr>
          <w:rFonts w:hint="eastAsia" w:ascii="宋体" w:hAnsi="宋体" w:cs="黑体"/>
          <w:bCs/>
          <w:kern w:val="0"/>
          <w:sz w:val="40"/>
          <w:szCs w:val="40"/>
          <w:lang w:bidi="ar"/>
          <w14:ligatures w14:val="none"/>
        </w:rPr>
      </w:pPr>
    </w:p>
    <w:p w14:paraId="3DB8B1B9">
      <w:pPr>
        <w:widowControl w:val="0"/>
        <w:spacing w:line="480" w:lineRule="auto"/>
        <w:ind w:firstLine="0" w:firstLineChars="0"/>
        <w:jc w:val="center"/>
        <w:rPr>
          <w:rFonts w:hint="eastAsia" w:ascii="宋体" w:hAnsi="宋体" w:cs="黑体"/>
          <w:bCs/>
          <w:kern w:val="0"/>
          <w:sz w:val="40"/>
          <w:szCs w:val="40"/>
          <w:lang w:bidi="ar"/>
          <w14:ligatures w14:val="none"/>
        </w:rPr>
      </w:pPr>
    </w:p>
    <w:tbl>
      <w:tblPr>
        <w:tblStyle w:val="22"/>
        <w:tblW w:w="8306" w:type="dxa"/>
        <w:jc w:val="center"/>
        <w:tblLayout w:type="fixed"/>
        <w:tblCellMar>
          <w:top w:w="0" w:type="dxa"/>
          <w:left w:w="108" w:type="dxa"/>
          <w:bottom w:w="0" w:type="dxa"/>
          <w:right w:w="108" w:type="dxa"/>
        </w:tblCellMar>
      </w:tblPr>
      <w:tblGrid>
        <w:gridCol w:w="8306"/>
      </w:tblGrid>
      <w:tr w14:paraId="5FF76AE4">
        <w:trPr>
          <w:trHeight w:val="737" w:hRule="atLeast"/>
          <w:jc w:val="center"/>
        </w:trPr>
        <w:tc>
          <w:tcPr>
            <w:tcW w:w="6916" w:type="dxa"/>
            <w:vAlign w:val="center"/>
          </w:tcPr>
          <w:p w14:paraId="7186EB22">
            <w:pPr>
              <w:widowControl w:val="0"/>
              <w:ind w:firstLine="0" w:firstLineChars="0"/>
              <w:jc w:val="left"/>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：面向注意状态的无感多模态智能测评系统</w:t>
            </w:r>
          </w:p>
        </w:tc>
      </w:tr>
      <w:tr w14:paraId="0EE11997">
        <w:tblPrEx>
          <w:tblCellMar>
            <w:top w:w="0" w:type="dxa"/>
            <w:left w:w="108" w:type="dxa"/>
            <w:bottom w:w="0" w:type="dxa"/>
            <w:right w:w="108" w:type="dxa"/>
          </w:tblCellMar>
        </w:tblPrEx>
        <w:trPr>
          <w:trHeight w:val="737" w:hRule="atLeast"/>
          <w:jc w:val="center"/>
        </w:trPr>
        <w:tc>
          <w:tcPr>
            <w:tcW w:w="6916" w:type="dxa"/>
            <w:vAlign w:val="center"/>
          </w:tcPr>
          <w:p w14:paraId="31CC8A44">
            <w:pPr>
              <w:widowControl w:val="0"/>
              <w:ind w:firstLine="0" w:firstLineChars="0"/>
              <w:rPr>
                <w:rFonts w:hint="eastAsia" w:ascii="宋体" w:hAnsi="宋体" w:cs="Times New Roman"/>
                <w:sz w:val="30"/>
                <w:szCs w:val="30"/>
                <w14:ligatures w14:val="none"/>
              </w:rPr>
            </w:pPr>
            <w:r>
              <w:rPr>
                <w:rFonts w:hint="eastAsia" w:ascii="宋体" w:hAnsi="宋体" w:cs="Times New Roman"/>
                <w:spacing w:val="80"/>
                <w:sz w:val="30"/>
                <w:szCs w:val="30"/>
                <w14:ligatures w14:val="none"/>
              </w:rPr>
              <w:t>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测验赛道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p>
        </w:tc>
      </w:tr>
      <w:tr w14:paraId="39A17EAC">
        <w:tblPrEx>
          <w:tblCellMar>
            <w:top w:w="0" w:type="dxa"/>
            <w:left w:w="108" w:type="dxa"/>
            <w:bottom w:w="0" w:type="dxa"/>
            <w:right w:w="108" w:type="dxa"/>
          </w:tblCellMar>
        </w:tblPrEx>
        <w:trPr>
          <w:trHeight w:val="737" w:hRule="atLeast"/>
          <w:jc w:val="center"/>
        </w:trPr>
        <w:tc>
          <w:tcPr>
            <w:tcW w:w="6916" w:type="dxa"/>
            <w:vAlign w:val="center"/>
          </w:tcPr>
          <w:p w14:paraId="6C9F62E3">
            <w:pPr>
              <w:widowControl w:val="0"/>
              <w:ind w:firstLine="0" w:firstLineChars="0"/>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主题</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p>
        </w:tc>
      </w:tr>
      <w:tr w14:paraId="3100C0D3">
        <w:tblPrEx>
          <w:tblCellMar>
            <w:top w:w="0" w:type="dxa"/>
            <w:left w:w="108" w:type="dxa"/>
            <w:bottom w:w="0" w:type="dxa"/>
            <w:right w:w="108" w:type="dxa"/>
          </w:tblCellMar>
        </w:tblPrEx>
        <w:trPr>
          <w:trHeight w:val="737" w:hRule="atLeast"/>
          <w:jc w:val="center"/>
        </w:trPr>
        <w:tc>
          <w:tcPr>
            <w:tcW w:w="6916" w:type="dxa"/>
            <w:vAlign w:val="center"/>
          </w:tcPr>
          <w:p w14:paraId="03856F05">
            <w:pPr>
              <w:widowControl w:val="0"/>
              <w:ind w:firstLine="0" w:firstLineChars="0"/>
              <w:rPr>
                <w:rFonts w:ascii="Calibri" w:hAnsi="Calibri" w:cs="Times New Roman"/>
                <w:bCs/>
                <w:sz w:val="28"/>
                <w:szCs w:val="28"/>
                <w14:ligatures w14:val="none"/>
              </w:rPr>
            </w:pPr>
            <w:r>
              <w:rPr>
                <w:rFonts w:hint="eastAsia" w:ascii="宋体" w:hAnsi="宋体" w:cs="Times New Roman"/>
                <w:spacing w:val="80"/>
                <w:sz w:val="28"/>
                <w:szCs w:val="28"/>
                <w14:ligatures w14:val="none"/>
              </w:rPr>
              <w:t>填报日期</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2026</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年</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8</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月</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31   </w:t>
            </w:r>
            <w:r>
              <w:rPr>
                <w:rFonts w:hint="eastAsia" w:ascii="宋体" w:hAnsi="宋体" w:cs="Times New Roman"/>
                <w:sz w:val="28"/>
                <w:szCs w:val="28"/>
                <w14:ligatures w14:val="none"/>
              </w:rPr>
              <w:t>日</w:t>
            </w:r>
          </w:p>
        </w:tc>
      </w:tr>
    </w:tbl>
    <w:p w14:paraId="04F2265D">
      <w:pPr>
        <w:widowControl w:val="0"/>
        <w:spacing w:line="480" w:lineRule="auto"/>
        <w:ind w:firstLine="0" w:firstLineChars="0"/>
        <w:jc w:val="center"/>
        <w:rPr>
          <w:rFonts w:hint="eastAsia" w:ascii="宋体" w:hAnsi="宋体" w:cs="黑体"/>
          <w:bCs/>
          <w:kern w:val="0"/>
          <w:sz w:val="40"/>
          <w:szCs w:val="40"/>
          <w:lang w:bidi="ar"/>
          <w14:ligatures w14:val="none"/>
        </w:rPr>
      </w:pPr>
    </w:p>
    <w:p w14:paraId="58B66ABE">
      <w:pPr>
        <w:widowControl w:val="0"/>
        <w:spacing w:line="480" w:lineRule="auto"/>
        <w:ind w:firstLine="0" w:firstLineChars="0"/>
        <w:jc w:val="center"/>
        <w:rPr>
          <w:rFonts w:hint="eastAsia" w:ascii="宋体" w:hAnsi="宋体" w:cs="黑体"/>
          <w:bCs/>
          <w:kern w:val="0"/>
          <w:sz w:val="40"/>
          <w:szCs w:val="40"/>
          <w:lang w:bidi="ar"/>
          <w14:ligatures w14:val="none"/>
        </w:rPr>
      </w:pPr>
    </w:p>
    <w:p w14:paraId="6929D443">
      <w:pPr>
        <w:widowControl w:val="0"/>
        <w:spacing w:line="480" w:lineRule="auto"/>
        <w:ind w:firstLine="0" w:firstLineChars="0"/>
        <w:jc w:val="center"/>
        <w:rPr>
          <w:rFonts w:hint="eastAsia" w:ascii="宋体" w:hAnsi="宋体" w:cs="黑体"/>
          <w:bCs/>
          <w:kern w:val="0"/>
          <w:sz w:val="40"/>
          <w:szCs w:val="40"/>
          <w:lang w:bidi="ar"/>
          <w14:ligatures w14:val="none"/>
        </w:rPr>
      </w:pPr>
    </w:p>
    <w:p w14:paraId="04C0F4FF">
      <w:pPr>
        <w:widowControl w:val="0"/>
        <w:spacing w:line="240" w:lineRule="auto"/>
        <w:ind w:firstLine="0" w:firstLineChars="0"/>
        <w:jc w:val="center"/>
        <w:outlineLvl w:val="0"/>
        <w:rPr>
          <w:rFonts w:hint="eastAsia" w:ascii="宋体" w:hAnsi="宋体" w:cs="Times New Roman"/>
          <w:b/>
          <w:sz w:val="28"/>
          <w:szCs w:val="30"/>
          <w14:ligatures w14:val="none"/>
        </w:rPr>
      </w:pPr>
    </w:p>
    <w:p w14:paraId="79838844">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大赛组委会</w:t>
      </w:r>
    </w:p>
    <w:p w14:paraId="460F8A4B">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二零二六年七月</w:t>
      </w:r>
    </w:p>
    <w:p w14:paraId="5D39472C">
      <w:pPr>
        <w:widowControl w:val="0"/>
        <w:spacing w:line="240" w:lineRule="auto"/>
        <w:ind w:firstLine="0" w:firstLineChars="0"/>
        <w:outlineLvl w:val="0"/>
        <w:rPr>
          <w:rFonts w:hint="eastAsia" w:ascii="宋体" w:hAnsi="宋体" w:cs="Times New Roman"/>
          <w:b/>
          <w:sz w:val="28"/>
          <w:szCs w:val="30"/>
          <w14:ligatures w14:val="none"/>
        </w:rPr>
      </w:pPr>
    </w:p>
    <w:p w14:paraId="796C3A59">
      <w:pPr>
        <w:ind w:firstLine="640"/>
        <w:rPr>
          <w:rFonts w:eastAsia="黑体"/>
          <w:sz w:val="32"/>
          <w:szCs w:val="32"/>
        </w:rPr>
      </w:pPr>
      <w:r>
        <w:rPr>
          <w:rFonts w:eastAsia="黑体"/>
          <w:sz w:val="32"/>
          <w:szCs w:val="32"/>
        </w:rPr>
        <w:br w:type="page"/>
      </w:r>
    </w:p>
    <w:p w14:paraId="48076097">
      <w:pPr>
        <w:ind w:firstLine="199" w:firstLineChars="62"/>
        <w:jc w:val="center"/>
        <w:rPr>
          <w:rFonts w:eastAsia="黑体"/>
          <w:sz w:val="32"/>
          <w:szCs w:val="32"/>
        </w:rPr>
      </w:pPr>
      <w:r>
        <w:rPr>
          <w:rFonts w:ascii="黑体" w:hAnsi="黑体" w:eastAsia="黑体"/>
          <w:b/>
          <w:sz w:val="32"/>
          <w:szCs w:val="32"/>
        </w:rPr>
        <w:t>FocusWave：多模态持续注意测评工具</w:t>
      </w:r>
    </w:p>
    <w:p w14:paraId="5E116F39">
      <w:pPr>
        <w:ind w:firstLine="0" w:firstLineChars="0"/>
        <w:rPr>
          <w:lang w:eastAsia="zh"/>
        </w:rPr>
      </w:pPr>
      <w:r>
        <w:rPr>
          <w:rFonts w:hint="eastAsia"/>
          <w:b/>
          <w:bCs/>
          <w:sz w:val="24"/>
          <w:szCs w:val="24"/>
        </w:rPr>
        <w:t>摘要</w:t>
      </w:r>
      <w:r>
        <w:rPr>
          <w:rFonts w:hint="eastAsia"/>
          <w:sz w:val="24"/>
          <w:szCs w:val="24"/>
        </w:rPr>
        <w:t xml:space="preserve"> </w:t>
      </w:r>
      <w:r>
        <w:rPr>
          <w:rFonts w:hint="eastAsia"/>
          <w:szCs w:val="21"/>
        </w:rPr>
        <w:t>持续注意并非能够由单次行为反应或单一生理信号直接观测的心理变量，其变化同时表现为任务成绩、主观体验、眼部活动、心肺相关活动与外显行为的波动。本研究构建了 FocusWave 多模态持续注意测评框架，以游戏化持续性注意反应任务为统一测量情境，通过两阶段预实验确定正式任务的负荷水平、刺激序列、任务时长与思维探针设计。正式实验包含两个结构相同的任务 Block，共 864 个试次，并在任务过程中同步记录行为反应、即时注意内容、近期警觉程度、近红外眼部视频、毫米波雷达信号和普通摄像头视频。分析以行为表现和思维探针为认知参照，分别提取反应准确性与稳定性、瞳孔—虹膜面积比、心率与呼吸相关特征，以及头部姿态、视线、面部动作和运动特征，并在统一时间轴上进行事件级和时间窗口级分析。对于多次参加实验的个体，各次实验作为不同时间的完整记录进入分析，并在统计推断和模型评价中保持同一参与者的数据归属。该框架将任务表现、主观状态与非接触式连续观测置于同一分析体系，为考察持续注意的个体内变化及不同模态的互补信息提供了方法基础。</w:t>
      </w:r>
    </w:p>
    <w:p w14:paraId="5DE4CCE6">
      <w:pPr>
        <w:ind w:firstLine="0" w:firstLineChars="0"/>
      </w:pPr>
      <w:r>
        <w:rPr>
          <w:rFonts w:hint="eastAsia"/>
          <w:b/>
          <w:bCs/>
          <w:color w:val="000000" w:themeColor="text1"/>
          <w:sz w:val="24"/>
          <w:szCs w:val="24"/>
          <w14:textFill>
            <w14:solidFill>
              <w14:schemeClr w14:val="tx1"/>
            </w14:solidFill>
          </w14:textFill>
        </w:rPr>
        <w:t>关键词</w:t>
      </w:r>
      <w:r>
        <w:rPr>
          <w:rFonts w:hint="eastAsia"/>
          <w:sz w:val="24"/>
          <w:szCs w:val="24"/>
        </w:rPr>
        <w:t xml:space="preserve"> </w:t>
      </w:r>
      <w:r>
        <w:t>持续注意；毫米波雷达；近红外成像；多模态融合；非接触式测评</w:t>
      </w:r>
    </w:p>
    <w:p w14:paraId="2D9582AD">
      <w:pPr>
        <w:ind w:firstLine="480"/>
        <w:rPr>
          <w:sz w:val="24"/>
          <w:szCs w:val="24"/>
        </w:rPr>
      </w:pPr>
    </w:p>
    <w:p w14:paraId="5BC2E8A2">
      <w:pPr>
        <w:pStyle w:val="3"/>
        <w:rPr>
          <w:lang w:eastAsia="zh-CN"/>
        </w:rPr>
      </w:pPr>
      <w:r>
        <w:rPr>
          <w:rFonts w:hint="eastAsia"/>
          <w:lang w:eastAsia="zh-CN"/>
        </w:rPr>
        <w:t>1 引言</w:t>
      </w:r>
    </w:p>
    <w:p w14:paraId="45605E7B">
      <w:pPr>
        <w:ind w:firstLine="420"/>
        <w:rPr>
          <w:lang w:eastAsia="zh"/>
        </w:rPr>
      </w:pPr>
      <w:r>
        <w:rPr>
          <w:lang w:eastAsia="zh"/>
        </w:rPr>
        <w:t>持续注意（sustained attention）是个体在较长时间内维持目标指向性加工，并对偶发或低频事件保持反应准备的认知功能，是学习、工作和复杂操作能够稳定进行的重要基础（Sarter et al., 2001）。持续注意并非始终保持在固定水平，而会在任务过程中发生明显的状态波动。即使外部任务要求不变，个体的注意也可能在任务投入、任务无关思维和短暂任务脱离之间变化；心智游移（mind wandering）即体现了注意从当前任务转向内部思维的过程（Smallwood &amp; Schooler, 2006）。这种动态属性意味着，持续注意测评不仅需要描述个体总体表现，还需要保留注意状态随时间变化的过程信息。</w:t>
      </w:r>
    </w:p>
    <w:p w14:paraId="1D156443">
      <w:pPr>
        <w:ind w:firstLine="420"/>
        <w:rPr>
          <w:lang w:eastAsia="zh"/>
        </w:rPr>
      </w:pPr>
      <w:r>
        <w:rPr>
          <w:lang w:eastAsia="zh"/>
        </w:rPr>
        <w:t>传统持续注意研究主要依赖行为任务和主观报告。持续性注意反应任务（Sustained Attention to Response Task, SART）通过高频 Go 反应与低频 No-Go 抑制形成持续反应倾向，可同时记录反应速度、反应稳定性、遗漏和错误抑制等行为信息（Robertson et al., 1997; Manly et al., 1999）。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视线和面部动作，但图像采集涉及隐私，并且外显行为与内部注意状态并不存在一一对应关系。已有视频研究表明，头面部动态能够为心智游移识别提供信息，但其识别性能依赖任务情境和可用特征（Bosch &amp; D'Mello, 2021）。因此，持续注意的客观测量需要在连续性、使用负担、隐私以及构念解释之间取得平衡，而不能简单将某一传感器输出直接视为注意状态本身。</w:t>
      </w:r>
    </w:p>
    <w:p w14:paraId="11FF0F5D">
      <w:pPr>
        <w:ind w:firstLine="420"/>
        <w:rPr>
          <w:lang w:eastAsia="zh"/>
        </w:rPr>
      </w:pPr>
      <w:r>
        <w:rPr>
          <w:lang w:eastAsia="zh"/>
        </w:rPr>
        <w:t>毫米波（millimeter-wave, mmWave）雷达为低接触负担的连续测量提供了一条值得检验的技术路径。调频连续波雷达能够利用人体回波中的相位和幅度变化记录胸壁及身体微动，并由此提取呼吸、心搏及运动相关特征。现有研究已经系统总结了雷达生命体征测量的技术基础和主要信号处理方法（Paterniani et al., 2023），也证明商用毫米波设备能够在特定实验条件下估计心搏间期和心率变异性（Wang et al., 2021）。此外，毫米波还可用于识别眨眼、点头、打哈欠和腿部运动等与专注状态可能相关的外显活动（Ge et al., 2024）。由于雷达采集的是电磁回波而非可识别面部图像，它在长时间、非接触和隐私敏感场景中具有潜在应用价值。</w:t>
      </w:r>
    </w:p>
    <w:p w14:paraId="00FD24E0">
      <w:pPr>
        <w:ind w:firstLine="420"/>
        <w:rPr>
          <w:lang w:eastAsia="zh"/>
        </w:rPr>
      </w:pPr>
      <w:r>
        <w:rPr>
          <w:lang w:eastAsia="zh"/>
        </w:rPr>
        <w:t>然而，技术上的可测并不等同于心理测量上的有效。心率、呼吸和身体微动均会受到姿势、疲劳、情绪、运动以及个体差异等因素影响，它们并不是持续注意的特异性指标。现有毫米波研究更多回答“生命体征或动作能否被可靠提取”，而较少在标准化认知任务中使用独立的行为和主观效标检验“这些信号是否能够反映持续注意的变化”。同样，基于眨眼、点头等动作得到较高分类准确率，只能证明动作识别能力，不能直接说明雷达已经获得了对持续注意构念的效度证据。将毫米波进一步发展为注意状态测评手段，因而需要把信号提取、任务表现、主观体验和时间过程置于同一验证框架中。</w:t>
      </w:r>
    </w:p>
    <w:p w14:paraId="4E1C827B">
      <w:pPr>
        <w:ind w:firstLine="420"/>
        <w:rPr>
          <w:lang w:eastAsia="zh"/>
        </w:rPr>
      </w:pPr>
      <w:r>
        <w:rPr>
          <w:lang w:eastAsia="zh"/>
        </w:rPr>
        <w:t>基于上述问题，FocusWave 以游戏化 SART 为统一测量情境，以行为表现和思维探针作为任务内的认知参照，并同步记录毫米波雷达、近红外眼部视频和普通 RGB 视频。毫米波构成本研究重点考察的非接触连续测量通道；近红外成像用于描述瞳孔等眼部变化，RGB 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pPr>
        <w:ind w:firstLine="422"/>
        <w:rPr>
          <w:b/>
          <w:lang w:eastAsia="zh"/>
        </w:rPr>
      </w:pPr>
    </w:p>
    <w:p w14:paraId="58D827DA">
      <w:pPr>
        <w:pStyle w:val="3"/>
        <w:rPr>
          <w:lang w:eastAsia="zh-CN"/>
        </w:rPr>
      </w:pPr>
      <w:r>
        <w:rPr>
          <w:rFonts w:hint="eastAsia"/>
          <w:lang w:eastAsia="zh-CN"/>
        </w:rPr>
        <w:t>2 文献综述</w:t>
      </w:r>
    </w:p>
    <w:p w14:paraId="777DB786">
      <w:pPr>
        <w:pStyle w:val="4"/>
        <w:rPr>
          <w:lang w:eastAsia="zh"/>
        </w:rPr>
      </w:pPr>
      <w:r>
        <w:rPr>
          <w:rFonts w:hint="eastAsia"/>
          <w:lang w:eastAsia="zh-CN"/>
        </w:rPr>
        <w:t xml:space="preserve">2.1 </w:t>
      </w:r>
      <w:r>
        <w:rPr>
          <w:rFonts w:hint="eastAsia"/>
          <w:lang w:eastAsia="zh"/>
        </w:rPr>
        <w:t>持续注意的行为表现与主观体验</w:t>
      </w:r>
    </w:p>
    <w:p w14:paraId="1CA2E844">
      <w:pPr>
        <w:ind w:firstLine="420"/>
        <w:rPr>
          <w:bCs/>
          <w:lang w:eastAsia="zh"/>
        </w:rPr>
      </w:pPr>
      <w:r>
        <w:rPr>
          <w:bCs/>
          <w:lang w:eastAsia="zh"/>
        </w:rPr>
        <w:t>持续注意（sustained attention）是个体在较长时间内保持目标指向性加工，并对低频、偶发或不可预测事件维持反应准备的能力（Sarter et al., 2001）。这一能力并不是在整个任务过程中保持恒定不变。随着任务持续，个体可能出现反应节律变化、短暂任务脱离以及警觉水平下降；与此同时，注意也可能从当前任务转向与任务无关的内部思维，即心智游移（mind wandering）（Smallwood &amp; Schooler, 2015）。因此，持续注意既包含相对稳定的个体差异，也包含同一个体随时间发生的状态波动。测评时若只使用整场平均成绩，容易掩盖这种时间动态。</w:t>
      </w:r>
    </w:p>
    <w:p w14:paraId="30B54309">
      <w:pPr>
        <w:ind w:firstLine="420"/>
        <w:rPr>
          <w:bCs/>
          <w:lang w:eastAsia="zh"/>
        </w:rPr>
      </w:pPr>
      <w:r>
        <w:rPr>
          <w:bCs/>
          <w:lang w:eastAsia="zh"/>
        </w:rPr>
        <w:t>持续性注意反应任务（Sustained Attention to Response Task, SART）为观察上述变化提供了标准化行为情境。经典 SART 要求参与者对高频 Go 刺激持续作出反应，并在低频 No-Go 刺激出现时抑制已经形成的优势反应（Robertson et al., 1997; Manly et al., 1999）。这种设计同时要求参与者维持任务规则、保持连续反应并监控少量需要抑制的事件。Seli 等（2012）比较视觉与听觉版本的 SART 后发现，两种模态下的错误率、反应时和反应时变异具有较强的跨模态相关，说明这些指标能够稳定反映持续注意表现中的个体差异，而不仅由某一种刺激通道决定。</w:t>
      </w:r>
    </w:p>
    <w:p w14:paraId="34D96AF0">
      <w:pPr>
        <w:ind w:firstLine="420"/>
        <w:rPr>
          <w:bCs/>
          <w:lang w:eastAsia="zh"/>
        </w:rPr>
      </w:pPr>
      <w:r>
        <w:rPr>
          <w:bCs/>
          <w:lang w:eastAsia="zh"/>
        </w:rPr>
        <w:t>SART 的行为结果需要分层解释。No-Go 试次中的错误按键通常称为 commission error（错误抑制），表示优势反应未被成功抑制；Go 试次未出现有效反应则构成 omission error（遗漏反应），表示应作出的持续反应没有发生。两类错误的任务要求和形成过程不同，因此不宜合并为单一“正确/错误”指标。commission error 更直接涉及对优势反应的监控与抑制，而 omission 还可能与反应迟缓、反应节律中断以及按键相对于相邻试次的时序错位有关。因此，Go 与 No-Go 表现应分别描述，并结合原始按键时序判断不同遗漏所对应的行为过程。</w:t>
      </w:r>
    </w:p>
    <w:p w14:paraId="13E85BA5">
      <w:pPr>
        <w:ind w:firstLine="420"/>
        <w:rPr>
          <w:bCs/>
          <w:lang w:eastAsia="zh"/>
        </w:rPr>
      </w:pPr>
      <w:r>
        <w:rPr>
          <w:bCs/>
          <w:lang w:eastAsia="zh"/>
        </w:rPr>
        <w:t>正确 Go 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SART 还可通过信号检测论（signal detection theory）将 Go 有效反应和 No-Go 错误反应共同纳入辨别力与反应偏向指标，从而避免只依赖单一错误率解释任务表现。由此，反应速度、反应稳定性、commission、omission、辨别力和反应偏向分别描述持续注意表现的不同侧面，而不应被压缩成单一综合正确率。</w:t>
      </w:r>
    </w:p>
    <w:p w14:paraId="54109657">
      <w:pPr>
        <w:ind w:firstLine="420"/>
        <w:rPr>
          <w:bCs/>
          <w:lang w:eastAsia="zh"/>
        </w:rPr>
      </w:pPr>
      <w:r>
        <w:rPr>
          <w:bCs/>
          <w:lang w:eastAsia="zh"/>
        </w:rPr>
        <w:t>行为记录仍不能直接回答参与者当时“在想什么”或“有多清醒”。思维探针（thought probe）通过在任务过程中间歇性询问探针出现前一刻或前一时间段的主观体验，为注意状态提供任务内的主观参照。心智游移研究通常利用这类方法区分任务专注与任务无关思维，并进一步考察元意识、内容和任务脱离程度（Smallwood &amp; Schooler, 2015）。Wiemers 和 Redick（2019）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pPr>
        <w:ind w:firstLine="420"/>
        <w:rPr>
          <w:bCs/>
          <w:lang w:eastAsia="zh"/>
        </w:rPr>
      </w:pPr>
      <w:r>
        <w:rPr>
          <w:bCs/>
          <w:lang w:eastAsia="zh"/>
        </w:rPr>
        <w:t>注意内容与警觉程度还需要区分。近期结合 SART、思维探针、瞳孔和心脏活动的研究将任务专注、心智游移和大脑空白分别记录，并同步询问警觉水平。Corcoran 等（2025）发现，心智游移和大脑空白均随任务时间增加，并伴随较低警觉程度和较小瞳孔；两种任务脱离状态又表现出不同的行为与生理模式，其中大脑空白与更明显的低唤醒和心率下降相联系。该结果说明“注意内容”和“警觉程度”虽然相关，却并非同一构念。据此，本研究分别将探针所记录的注意内容与警觉程度作为类别型和有序型主观指标，并考察其与反应速度、反应稳定性和错误形成之间的关系。</w:t>
      </w:r>
    </w:p>
    <w:p w14:paraId="10C599BB">
      <w:pPr>
        <w:ind w:firstLine="420"/>
        <w:rPr>
          <w:bCs/>
          <w:lang w:eastAsia="zh"/>
        </w:rPr>
      </w:pPr>
      <w:r>
        <w:rPr>
          <w:bCs/>
          <w:lang w:eastAsia="zh"/>
        </w:rPr>
        <w:t>综合来看，SART 行为与思维探针提供了两个互补的测量层次：行为记录参与者实际“做得如何”，探针记录参与者能够报告的“当时处于何种主观状态”。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pPr>
        <w:pStyle w:val="4"/>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pPr>
        <w:ind w:firstLine="420" w:firstLineChars="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Mathôt, 2018; Strauch et al., 2022）。Strauch 等（2022）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pPr>
        <w:ind w:firstLine="420" w:firstLineChars="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Unsworth 等（2018）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pPr>
        <w:ind w:firstLine="420" w:firstLineChars="0"/>
        <w:rPr>
          <w:bCs/>
          <w:lang w:eastAsia="zh"/>
        </w:rPr>
      </w:pPr>
      <w:r>
        <w:rPr>
          <w:bCs/>
          <w:lang w:eastAsia="zh"/>
        </w:rPr>
        <w:t>瞳孔与持续注意之间的关系也不一定是简单线性的。van den Brink 等（2016）发现，基线瞳孔与任务表现之间最初观察到的线性关系在控制任务时间后发生改变，并呈现倒 U 形关系；瞳孔直径随时间的变化率则与任务表现保持较稳定的联系。这一结果说明，time-on-task（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pPr>
        <w:ind w:firstLine="420" w:firstLineChars="0"/>
        <w:rPr>
          <w:bCs/>
          <w:lang w:eastAsia="zh"/>
        </w:rPr>
      </w:pPr>
      <w:r>
        <w:rPr>
          <w:bCs/>
          <w:lang w:eastAsia="zh"/>
        </w:rPr>
        <w:t>与本研究最接近的证据来自同时记录 SART、思维探针与瞳孔的研究。Corcoran 等（2025）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较小瞳孔”机械等同于某一种单一注意状态。</w:t>
      </w:r>
    </w:p>
    <w:p w14:paraId="4794B107">
      <w:pPr>
        <w:ind w:firstLine="420" w:firstLineChars="0"/>
        <w:rPr>
          <w:bCs/>
          <w:lang w:eastAsia="zh"/>
        </w:rPr>
      </w:pPr>
      <w:r>
        <w:rPr>
          <w:bCs/>
          <w:lang w:eastAsia="zh"/>
        </w:rPr>
        <w:t>视觉输入是瞳孔分析中必须控制的重要混杂。除整体亮度外，刺激对比度和空间频率等低层视觉特征也能够改变瞳孔大小；Kim 等（2023）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pPr>
        <w:ind w:firstLine="420" w:firstLineChars="0"/>
        <w:rPr>
          <w:bCs/>
          <w:lang w:eastAsia="zh"/>
        </w:rPr>
      </w:pPr>
      <w:r>
        <w:rPr>
          <w:bCs/>
          <w:lang w:eastAsia="zh"/>
        </w:rPr>
        <w:t>瞳孔信号的解释还依赖严格的数据质量与基线处理。Mathôt 等（2018）指出，瞳孔基线校正应建立在有效数据和合理基线之上，并推荐在保留原始水平的同时使用减法基线校正描述事件相关变化；Kret 和 Sjak-Shie（2019）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pPr>
        <w:ind w:firstLine="420" w:firstLineChars="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近红外成像主要改善瞳孔测量的成像条件，而不是自动提高构念效度。主动近红外照明能够增强瞳孔与周围眼部组织之间的可分性，并减少可见光颜色差异对边界识别的影响。Barry 等（2022）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pPr>
        <w:ind w:firstLine="420" w:firstLineChars="0"/>
        <w:rPr>
          <w:bCs/>
          <w:lang w:eastAsia="zh"/>
        </w:rPr>
      </w:pPr>
      <w:r>
        <w:rPr>
          <w:bCs/>
          <w:lang w:eastAsia="zh"/>
        </w:rPr>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pPr>
        <w:pStyle w:val="4"/>
        <w:rPr>
          <w:lang w:eastAsia="zh"/>
        </w:rPr>
      </w:pPr>
      <w:r>
        <w:rPr>
          <w:rFonts w:hint="eastAsia"/>
          <w:lang w:eastAsia="zh-CN"/>
        </w:rPr>
        <w:t>2.3</w:t>
      </w:r>
      <w:r>
        <w:rPr>
          <w:lang w:eastAsia="zh-CN"/>
        </w:rPr>
        <w:t xml:space="preserve"> </w:t>
      </w:r>
      <w:r>
        <w:rPr>
          <w:lang w:eastAsia="zh"/>
        </w:rPr>
        <w:t>心肺活动与身体微动</w:t>
      </w:r>
    </w:p>
    <w:p w14:paraId="5D65BD32">
      <w:pPr>
        <w:ind w:firstLine="420"/>
        <w:rPr>
          <w:bCs/>
          <w:lang w:eastAsia="zh"/>
        </w:rPr>
      </w:pPr>
      <w:r>
        <w:rPr>
          <w:bCs/>
          <w:lang w:eastAsia="zh"/>
        </w:rPr>
        <w:t>持续注意的波动不仅表现为行为错误和主观体验变化，也伴</w:t>
      </w:r>
      <w:r>
        <w:rPr>
          <w:rFonts w:hint="eastAsia"/>
          <w:bCs/>
          <w:lang w:eastAsia="zh-CN"/>
        </w:rPr>
        <w:t>随着</w:t>
      </w:r>
      <w:r>
        <w:rPr>
          <w:bCs/>
          <w:lang w:eastAsia="zh"/>
        </w:rPr>
        <w:t>自主神经活动的动态调整。心率（heart rate, HR）描述单位时间内的心搏次数，心率变异性（heart rate variability, HRV）则描述相邻心搏间期随时间的变化。二者反映的并不是单一心理过程，而是自主神经调节、呼吸、姿势、应激和个体差异等多种因素的共同结果。Hansen 等（2003）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 HRV 数值直接解释为注意水平。</w:t>
      </w:r>
    </w:p>
    <w:p w14:paraId="2318038E">
      <w:pPr>
        <w:ind w:firstLine="420"/>
        <w:rPr>
          <w:bCs/>
          <w:lang w:eastAsia="zh"/>
        </w:rPr>
      </w:pPr>
      <w:r>
        <w:rPr>
          <w:bCs/>
          <w:lang w:eastAsia="zh"/>
        </w:rPr>
        <w:t>在任务过程中，心脏活动与注意状态之间的关系更加复杂。Smallwood 等（2004）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Corcoran 等（2025）在 SART、思维探针、心电和瞳孔同步记录中发现，心智游移与大脑空白呈现不同的心脏模式：心智游移与更高的 HRV 相关，而大脑空白表现出更明显的心率降低；较低心率还与较低警觉、较慢反应及较小瞳孔相关。由此可见，HR 与 HRV 可能分别携带有关唤醒、反应倾向和任务脱离方式的信息，而不是共同指向一个单一“专注度”。</w:t>
      </w:r>
    </w:p>
    <w:p w14:paraId="6B4D10A3">
      <w:pPr>
        <w:ind w:firstLine="420"/>
        <w:rPr>
          <w:bCs/>
          <w:lang w:eastAsia="zh"/>
        </w:rPr>
      </w:pPr>
      <w:r>
        <w:rPr>
          <w:bCs/>
          <w:lang w:eastAsia="zh"/>
        </w:rPr>
        <w:t>近期证据也直接显示了心率方向受个体特征和分析条件调节。Sorella 等（2026）比较有经验冥想者与无冥想经验对照者在 SART 中的心智游移与任务专注片段，结果显示心智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pPr>
        <w:ind w:firstLine="420"/>
        <w:rPr>
          <w:bCs/>
          <w:lang w:eastAsia="zh"/>
        </w:rPr>
      </w:pPr>
      <w:r>
        <w:rPr>
          <w:bCs/>
          <w:lang w:eastAsia="zh"/>
        </w:rPr>
        <w:t>呼吸活动提供了另一条可能与注意调节相联系的生理路径。Melnychuk 等（2018）从蓝斑核（locus coeruleus, LC）的共同调节作用出发，提出呼吸与注意可能构成相互耦合的动力学系统，并报告了呼吸相位、蓝斑核相关活动与注意表现之间的同步证据。这一结果支持在持续注意研究中保留呼吸频率、呼吸周期及其动态变化，但并不意味着“呼吸更快或更慢”可以直接对应某一种注意状态。呼吸同时</w:t>
      </w:r>
      <w:r>
        <w:rPr>
          <w:rFonts w:hint="eastAsia"/>
          <w:bCs/>
          <w:lang w:eastAsia="zh-CN"/>
        </w:rPr>
        <w:t>受</w:t>
      </w:r>
      <w:r>
        <w:rPr>
          <w:bCs/>
          <w:lang w:eastAsia="zh"/>
        </w:rPr>
        <w:t>说话、姿势、情绪、运动以及个体生理差异影响，因此其测量价值同样依赖任务情境、时间窗口和质量控制。</w:t>
      </w:r>
    </w:p>
    <w:p w14:paraId="1663AF97">
      <w:pPr>
        <w:ind w:firstLine="420"/>
        <w:rPr>
          <w:bCs/>
          <w:lang w:eastAsia="zh"/>
        </w:rPr>
      </w:pPr>
      <w:r>
        <w:rPr>
          <w:bCs/>
          <w:lang w:eastAsia="zh"/>
        </w:rPr>
        <w:t>身体微动和坐姿中的小动作也可能携带注意相关信息，但其心理意义具有明显的情境依赖。Carriere 等（2013）的四项研究发现，日常生活中更高的自发心智游移和不注意倾向能够独立预测更高的自报告小动作倾向，而有意心智游移并未呈现同样关系。Farley 等（2013）进一步在 40 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 time-on-task（任务持续时间）趋势，不能把“动作变多”简单解释为注意变差。</w:t>
      </w:r>
    </w:p>
    <w:p w14:paraId="095401EF">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pPr>
        <w:ind w:firstLine="420"/>
        <w:rPr>
          <w:bCs/>
          <w:lang w:eastAsia="zh"/>
        </w:rPr>
      </w:pPr>
      <w:r>
        <w:rPr>
          <w:bCs/>
          <w:lang w:eastAsia="zh"/>
        </w:rPr>
        <w:t>综合而言，心率、HRV、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而不是被合成为单一注意评分。心率和呼吸需要区分较慢的时间趋势与个体内短时波动，IBI（interbeat interval，心搏间期）及 HRV 的解释依赖逐搏信息的可靠性，身体微动则同时具有状态表征和运动干扰两种可能作用。这些特点构成毫米波用于持续注意测量时需要进一步处理的生理学与方法学基础。</w:t>
      </w:r>
    </w:p>
    <w:p w14:paraId="4A9DBBBD">
      <w:pPr>
        <w:pStyle w:val="4"/>
        <w:rPr>
          <w:lang w:eastAsia="zh"/>
        </w:rPr>
      </w:pPr>
      <w:r>
        <w:rPr>
          <w:rFonts w:hint="eastAsia"/>
          <w:lang w:eastAsia="zh"/>
        </w:rPr>
        <w:t xml:space="preserve">2.4 </w:t>
      </w:r>
      <w:r>
        <w:rPr>
          <w:lang w:eastAsia="zh"/>
        </w:rPr>
        <w:t>现有测评技术与毫米波感知</w:t>
      </w:r>
    </w:p>
    <w:p w14:paraId="6A59C49E">
      <w:pPr>
        <w:ind w:firstLine="420" w:firstLineChars="0"/>
        <w:rPr>
          <w:lang w:eastAsia="zh"/>
        </w:rPr>
      </w:pPr>
      <w:r>
        <w:rPr>
          <w:lang w:eastAsia="zh"/>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部署成本相对较低，但会</w:t>
      </w:r>
      <w:r>
        <w:rPr>
          <w:rFonts w:hint="eastAsia"/>
          <w:lang w:eastAsia="zh-CN"/>
        </w:rPr>
        <w:t>受</w:t>
      </w:r>
      <w:r>
        <w:rPr>
          <w:lang w:eastAsia="zh"/>
        </w:rPr>
        <w:t>光照、遮挡、拍摄角度和图像隐私等因素影响，而且外显行为正常并不意味着内部注意始终保持在任务上。Bosch 和 D'Mello（2021）在实验室与课堂条件下证明视频特征能够为心智游移识别提供信息，同时也显示不同场景下识别性能并不相同，说明视觉指标具有情境依赖性。</w:t>
      </w:r>
    </w:p>
    <w:p w14:paraId="33598B6B">
      <w:pPr>
        <w:ind w:firstLine="420" w:firstLineChars="0"/>
        <w:rPr>
          <w:lang w:eastAsia="zh"/>
        </w:rPr>
      </w:pPr>
      <w:r>
        <w:rPr>
          <w:lang w:eastAsia="zh"/>
        </w:rPr>
        <w:t>因此，现有测评路线更适合按“能够观察什么”和“主要受什么限制”来比较。主观与行为测量最接近任务表现和自我体验，却具有离散采样和报告偏差；接触式神经生理测量时间连续性较高，但增</w:t>
      </w:r>
      <w:r>
        <w:rPr>
          <w:rFonts w:hint="eastAsia"/>
          <w:lang w:eastAsia="zh-CN"/>
        </w:rPr>
        <w:t>加了</w:t>
      </w:r>
      <w:r>
        <w:rPr>
          <w:lang w:eastAsia="zh"/>
        </w:rPr>
        <w:t>佩戴与维护负担；计算机视觉能够提供连续外显行为，却面临图像隐私和环境鲁棒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14:paraId="570249ED">
      <w:pPr>
        <w:pStyle w:val="11"/>
        <w:keepNext/>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1</w:t>
      </w:r>
      <w:r>
        <w:fldChar w:fldCharType="end"/>
      </w:r>
      <w:r>
        <w:rPr>
          <w:rFonts w:hint="eastAsia"/>
          <w:lang w:eastAsia="zh-CN"/>
        </w:rPr>
        <w:t xml:space="preserve"> 测量路线总结表</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72"/>
        <w:gridCol w:w="2138"/>
        <w:gridCol w:w="2212"/>
        <w:gridCol w:w="2584"/>
      </w:tblGrid>
      <w:tr w14:paraId="4B3F75D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4A05C1AB">
            <w:pPr>
              <w:spacing w:line="240" w:lineRule="auto"/>
              <w:ind w:firstLine="0" w:firstLineChars="0"/>
              <w:jc w:val="center"/>
              <w:rPr>
                <w:b/>
                <w:bCs/>
                <w:sz w:val="18"/>
                <w:szCs w:val="18"/>
                <w:lang w:eastAsia="zh"/>
              </w:rPr>
            </w:pPr>
            <w:r>
              <w:rPr>
                <w:b/>
                <w:bCs/>
                <w:sz w:val="18"/>
                <w:szCs w:val="18"/>
                <w:lang w:eastAsia="zh"/>
              </w:rPr>
              <w:t>测量路线</w:t>
            </w:r>
          </w:p>
        </w:tc>
        <w:tc>
          <w:tcPr>
            <w:tcW w:w="0" w:type="auto"/>
            <w:tcBorders>
              <w:top w:val="single" w:color="auto" w:sz="12" w:space="0"/>
              <w:bottom w:val="single" w:color="auto" w:sz="6" w:space="0"/>
              <w:right w:val="nil"/>
              <w:insideV w:val="nil"/>
            </w:tcBorders>
            <w:vAlign w:val="center"/>
          </w:tcPr>
          <w:p w14:paraId="59E38DE4">
            <w:pPr>
              <w:spacing w:line="240" w:lineRule="auto"/>
              <w:ind w:firstLine="0" w:firstLineChars="0"/>
              <w:jc w:val="center"/>
              <w:rPr>
                <w:b/>
                <w:bCs/>
                <w:sz w:val="18"/>
                <w:szCs w:val="18"/>
                <w:lang w:eastAsia="zh"/>
              </w:rPr>
            </w:pPr>
            <w:r>
              <w:rPr>
                <w:b/>
                <w:bCs/>
                <w:sz w:val="18"/>
                <w:szCs w:val="18"/>
                <w:lang w:eastAsia="zh"/>
              </w:rPr>
              <w:t>主要可观察信息</w:t>
            </w:r>
          </w:p>
        </w:tc>
        <w:tc>
          <w:tcPr>
            <w:tcW w:w="0" w:type="auto"/>
            <w:tcBorders>
              <w:top w:val="single" w:color="auto" w:sz="12" w:space="0"/>
              <w:bottom w:val="single" w:color="auto" w:sz="6" w:space="0"/>
              <w:right w:val="nil"/>
              <w:insideV w:val="nil"/>
            </w:tcBorders>
            <w:vAlign w:val="center"/>
          </w:tcPr>
          <w:p w14:paraId="09C75CB1">
            <w:pPr>
              <w:spacing w:line="240" w:lineRule="auto"/>
              <w:ind w:firstLine="0" w:firstLineChars="0"/>
              <w:jc w:val="center"/>
              <w:rPr>
                <w:b/>
                <w:bCs/>
                <w:sz w:val="18"/>
                <w:szCs w:val="18"/>
                <w:lang w:eastAsia="zh"/>
              </w:rPr>
            </w:pPr>
            <w:r>
              <w:rPr>
                <w:b/>
                <w:bCs/>
                <w:sz w:val="18"/>
                <w:szCs w:val="18"/>
                <w:lang w:eastAsia="zh"/>
              </w:rPr>
              <w:t>主要优势</w:t>
            </w:r>
          </w:p>
        </w:tc>
        <w:tc>
          <w:tcPr>
            <w:tcW w:w="0" w:type="auto"/>
            <w:tcBorders>
              <w:top w:val="single" w:color="auto" w:sz="12" w:space="0"/>
              <w:bottom w:val="single" w:color="auto" w:sz="6" w:space="0"/>
              <w:right w:val="nil"/>
              <w:insideV w:val="nil"/>
            </w:tcBorders>
            <w:vAlign w:val="center"/>
          </w:tcPr>
          <w:p w14:paraId="403BA541">
            <w:pPr>
              <w:spacing w:line="240" w:lineRule="auto"/>
              <w:ind w:firstLine="0" w:firstLineChars="0"/>
              <w:jc w:val="center"/>
              <w:rPr>
                <w:b/>
                <w:bCs/>
                <w:sz w:val="18"/>
                <w:szCs w:val="18"/>
                <w:lang w:eastAsia="zh"/>
              </w:rPr>
            </w:pPr>
            <w:r>
              <w:rPr>
                <w:b/>
                <w:bCs/>
                <w:sz w:val="18"/>
                <w:szCs w:val="18"/>
                <w:lang w:eastAsia="zh"/>
              </w:rPr>
              <w:t>主要限制</w:t>
            </w:r>
          </w:p>
        </w:tc>
      </w:tr>
      <w:tr w14:paraId="3F29A7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C99BBE2">
            <w:pPr>
              <w:spacing w:line="240" w:lineRule="auto"/>
              <w:ind w:firstLine="0" w:firstLineChars="0"/>
              <w:jc w:val="center"/>
              <w:rPr>
                <w:sz w:val="18"/>
                <w:szCs w:val="18"/>
                <w:lang w:eastAsia="zh"/>
              </w:rPr>
            </w:pPr>
            <w:r>
              <w:rPr>
                <w:sz w:val="18"/>
                <w:szCs w:val="18"/>
                <w:lang w:eastAsia="zh"/>
              </w:rPr>
              <w:t>行为任务与思维探针</w:t>
            </w:r>
          </w:p>
        </w:tc>
        <w:tc>
          <w:tcPr>
            <w:tcW w:w="0" w:type="auto"/>
            <w:vAlign w:val="center"/>
          </w:tcPr>
          <w:p w14:paraId="10C9BF12">
            <w:pPr>
              <w:spacing w:line="240" w:lineRule="auto"/>
              <w:ind w:firstLine="0" w:firstLineChars="0"/>
              <w:jc w:val="center"/>
              <w:rPr>
                <w:sz w:val="18"/>
                <w:szCs w:val="18"/>
                <w:lang w:eastAsia="zh"/>
              </w:rPr>
            </w:pPr>
            <w:r>
              <w:rPr>
                <w:sz w:val="18"/>
                <w:szCs w:val="18"/>
                <w:lang w:eastAsia="zh"/>
              </w:rPr>
              <w:t>反应表现、错误、反应时、主观注意内容与警觉</w:t>
            </w:r>
          </w:p>
        </w:tc>
        <w:tc>
          <w:tcPr>
            <w:tcW w:w="0" w:type="auto"/>
            <w:vAlign w:val="center"/>
          </w:tcPr>
          <w:p w14:paraId="26B3D395">
            <w:pPr>
              <w:spacing w:line="240" w:lineRule="auto"/>
              <w:ind w:firstLine="0" w:firstLineChars="0"/>
              <w:jc w:val="center"/>
              <w:rPr>
                <w:sz w:val="18"/>
                <w:szCs w:val="18"/>
                <w:lang w:eastAsia="zh"/>
              </w:rPr>
            </w:pPr>
            <w:r>
              <w:rPr>
                <w:sz w:val="18"/>
                <w:szCs w:val="18"/>
                <w:lang w:eastAsia="zh"/>
              </w:rPr>
              <w:t>与任务要求直接对应，解释路径清晰</w:t>
            </w:r>
          </w:p>
        </w:tc>
        <w:tc>
          <w:tcPr>
            <w:tcW w:w="0" w:type="auto"/>
            <w:vAlign w:val="center"/>
          </w:tcPr>
          <w:p w14:paraId="5BC8BDE3">
            <w:pPr>
              <w:spacing w:line="240" w:lineRule="auto"/>
              <w:ind w:firstLine="0" w:firstLineChars="0"/>
              <w:jc w:val="center"/>
              <w:rPr>
                <w:sz w:val="18"/>
                <w:szCs w:val="18"/>
                <w:lang w:eastAsia="zh"/>
              </w:rPr>
            </w:pPr>
            <w:r>
              <w:rPr>
                <w:sz w:val="18"/>
                <w:szCs w:val="18"/>
                <w:lang w:eastAsia="zh"/>
              </w:rPr>
              <w:t>探针离散且依赖自我报告，行为结果可能具有多种形成机制</w:t>
            </w:r>
          </w:p>
        </w:tc>
      </w:tr>
      <w:tr w14:paraId="7F5A24E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C0F7545">
            <w:pPr>
              <w:spacing w:line="240" w:lineRule="auto"/>
              <w:ind w:firstLine="0" w:firstLineChars="0"/>
              <w:jc w:val="center"/>
              <w:rPr>
                <w:sz w:val="18"/>
                <w:szCs w:val="18"/>
                <w:lang w:eastAsia="zh"/>
              </w:rPr>
            </w:pPr>
            <w:r>
              <w:rPr>
                <w:sz w:val="18"/>
                <w:szCs w:val="18"/>
                <w:lang w:eastAsia="zh"/>
              </w:rPr>
              <w:t>EEG / fNIRS 等接触式生理</w:t>
            </w:r>
          </w:p>
        </w:tc>
        <w:tc>
          <w:tcPr>
            <w:tcW w:w="0" w:type="auto"/>
            <w:vAlign w:val="center"/>
          </w:tcPr>
          <w:p w14:paraId="3812A5FE">
            <w:pPr>
              <w:spacing w:line="240" w:lineRule="auto"/>
              <w:ind w:firstLine="0" w:firstLineChars="0"/>
              <w:jc w:val="center"/>
              <w:rPr>
                <w:sz w:val="18"/>
                <w:szCs w:val="18"/>
                <w:lang w:eastAsia="zh"/>
              </w:rPr>
            </w:pPr>
            <w:r>
              <w:rPr>
                <w:sz w:val="18"/>
                <w:szCs w:val="18"/>
                <w:lang w:eastAsia="zh"/>
              </w:rPr>
              <w:t>神经电活动或血流动力学变化</w:t>
            </w:r>
          </w:p>
        </w:tc>
        <w:tc>
          <w:tcPr>
            <w:tcW w:w="0" w:type="auto"/>
            <w:vAlign w:val="center"/>
          </w:tcPr>
          <w:p w14:paraId="3E76D784">
            <w:pPr>
              <w:spacing w:line="240" w:lineRule="auto"/>
              <w:ind w:firstLine="0" w:firstLineChars="0"/>
              <w:jc w:val="center"/>
              <w:rPr>
                <w:sz w:val="18"/>
                <w:szCs w:val="18"/>
                <w:lang w:eastAsia="zh"/>
              </w:rPr>
            </w:pPr>
            <w:r>
              <w:rPr>
                <w:sz w:val="18"/>
                <w:szCs w:val="18"/>
                <w:lang w:eastAsia="zh"/>
              </w:rPr>
              <w:t>连续、客观，可研究神经机制</w:t>
            </w:r>
          </w:p>
        </w:tc>
        <w:tc>
          <w:tcPr>
            <w:tcW w:w="0" w:type="auto"/>
            <w:vAlign w:val="center"/>
          </w:tcPr>
          <w:p w14:paraId="7036BF69">
            <w:pPr>
              <w:spacing w:line="240" w:lineRule="auto"/>
              <w:ind w:firstLine="0" w:firstLineChars="0"/>
              <w:jc w:val="center"/>
              <w:rPr>
                <w:sz w:val="18"/>
                <w:szCs w:val="18"/>
                <w:lang w:eastAsia="zh"/>
              </w:rPr>
            </w:pPr>
            <w:r>
              <w:rPr>
                <w:sz w:val="18"/>
                <w:szCs w:val="18"/>
                <w:lang w:eastAsia="zh"/>
              </w:rPr>
              <w:t>佩戴负担、运动伪迹、设备和操作成本</w:t>
            </w:r>
          </w:p>
        </w:tc>
      </w:tr>
      <w:tr w14:paraId="51CAD50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0462182">
            <w:pPr>
              <w:spacing w:line="240" w:lineRule="auto"/>
              <w:ind w:firstLine="0" w:firstLineChars="0"/>
              <w:jc w:val="center"/>
              <w:rPr>
                <w:sz w:val="18"/>
                <w:szCs w:val="18"/>
                <w:lang w:eastAsia="zh"/>
              </w:rPr>
            </w:pPr>
            <w:r>
              <w:rPr>
                <w:sz w:val="18"/>
                <w:szCs w:val="18"/>
                <w:lang w:eastAsia="zh"/>
              </w:rPr>
              <w:t>计算机视觉</w:t>
            </w:r>
          </w:p>
        </w:tc>
        <w:tc>
          <w:tcPr>
            <w:tcW w:w="0" w:type="auto"/>
            <w:vAlign w:val="center"/>
          </w:tcPr>
          <w:p w14:paraId="5D805A9B">
            <w:pPr>
              <w:spacing w:line="240" w:lineRule="auto"/>
              <w:ind w:firstLine="0" w:firstLineChars="0"/>
              <w:jc w:val="center"/>
              <w:rPr>
                <w:sz w:val="18"/>
                <w:szCs w:val="18"/>
                <w:lang w:eastAsia="zh"/>
              </w:rPr>
            </w:pPr>
            <w:r>
              <w:rPr>
                <w:sz w:val="18"/>
                <w:szCs w:val="18"/>
                <w:lang w:eastAsia="zh"/>
              </w:rPr>
              <w:t>头姿、视线、面部动作、身体运动</w:t>
            </w:r>
          </w:p>
        </w:tc>
        <w:tc>
          <w:tcPr>
            <w:tcW w:w="0" w:type="auto"/>
            <w:vAlign w:val="center"/>
          </w:tcPr>
          <w:p w14:paraId="2020D91B">
            <w:pPr>
              <w:spacing w:line="240" w:lineRule="auto"/>
              <w:ind w:firstLine="0" w:firstLineChars="0"/>
              <w:jc w:val="center"/>
              <w:rPr>
                <w:sz w:val="18"/>
                <w:szCs w:val="18"/>
                <w:lang w:eastAsia="zh"/>
              </w:rPr>
            </w:pPr>
            <w:r>
              <w:rPr>
                <w:sz w:val="18"/>
                <w:szCs w:val="18"/>
                <w:lang w:eastAsia="zh"/>
              </w:rPr>
              <w:t>非接触、连续、硬件普及</w:t>
            </w:r>
          </w:p>
        </w:tc>
        <w:tc>
          <w:tcPr>
            <w:tcW w:w="0" w:type="auto"/>
            <w:vAlign w:val="center"/>
          </w:tcPr>
          <w:p w14:paraId="2735B0C2">
            <w:pPr>
              <w:spacing w:line="240" w:lineRule="auto"/>
              <w:ind w:firstLine="0" w:firstLineChars="0"/>
              <w:jc w:val="center"/>
              <w:rPr>
                <w:sz w:val="18"/>
                <w:szCs w:val="18"/>
                <w:lang w:eastAsia="zh"/>
              </w:rPr>
            </w:pPr>
            <w:r>
              <w:rPr>
                <w:sz w:val="18"/>
                <w:szCs w:val="18"/>
                <w:lang w:eastAsia="zh"/>
              </w:rPr>
              <w:t>图像隐私、光照/遮挡/角度影响，外显行为不等同内部状态</w:t>
            </w:r>
          </w:p>
        </w:tc>
      </w:tr>
      <w:tr w14:paraId="7146ED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C0DA4">
            <w:pPr>
              <w:spacing w:line="240" w:lineRule="auto"/>
              <w:ind w:firstLine="0" w:firstLineChars="0"/>
              <w:jc w:val="center"/>
              <w:rPr>
                <w:sz w:val="18"/>
                <w:szCs w:val="18"/>
                <w:lang w:eastAsia="zh"/>
              </w:rPr>
            </w:pPr>
            <w:r>
              <w:rPr>
                <w:sz w:val="18"/>
                <w:szCs w:val="18"/>
                <w:lang w:eastAsia="zh"/>
              </w:rPr>
              <w:t>多模态融合</w:t>
            </w:r>
          </w:p>
        </w:tc>
        <w:tc>
          <w:tcPr>
            <w:tcW w:w="0" w:type="auto"/>
            <w:vAlign w:val="center"/>
          </w:tcPr>
          <w:p w14:paraId="7F843613">
            <w:pPr>
              <w:spacing w:line="240" w:lineRule="auto"/>
              <w:ind w:firstLine="0" w:firstLineChars="0"/>
              <w:jc w:val="center"/>
              <w:rPr>
                <w:sz w:val="18"/>
                <w:szCs w:val="18"/>
                <w:lang w:eastAsia="zh"/>
              </w:rPr>
            </w:pPr>
            <w:r>
              <w:rPr>
                <w:sz w:val="18"/>
                <w:szCs w:val="18"/>
                <w:lang w:eastAsia="zh"/>
              </w:rPr>
              <w:t>多类行为、生理与主观信息</w:t>
            </w:r>
          </w:p>
        </w:tc>
        <w:tc>
          <w:tcPr>
            <w:tcW w:w="0" w:type="auto"/>
            <w:vAlign w:val="center"/>
          </w:tcPr>
          <w:p w14:paraId="0E1B6D84">
            <w:pPr>
              <w:spacing w:line="240" w:lineRule="auto"/>
              <w:ind w:firstLine="0" w:firstLineChars="0"/>
              <w:jc w:val="center"/>
              <w:rPr>
                <w:sz w:val="18"/>
                <w:szCs w:val="18"/>
                <w:lang w:eastAsia="zh"/>
              </w:rPr>
            </w:pPr>
            <w:r>
              <w:rPr>
                <w:sz w:val="18"/>
                <w:szCs w:val="18"/>
                <w:lang w:eastAsia="zh"/>
              </w:rPr>
              <w:t>可检验互补与增量信息</w:t>
            </w:r>
          </w:p>
        </w:tc>
        <w:tc>
          <w:tcPr>
            <w:tcW w:w="0" w:type="auto"/>
            <w:vAlign w:val="center"/>
          </w:tcPr>
          <w:p w14:paraId="4D45291C">
            <w:pPr>
              <w:spacing w:line="240" w:lineRule="auto"/>
              <w:ind w:firstLine="0" w:firstLineChars="0"/>
              <w:jc w:val="center"/>
              <w:rPr>
                <w:sz w:val="18"/>
                <w:szCs w:val="18"/>
                <w:lang w:eastAsia="zh"/>
              </w:rPr>
            </w:pPr>
            <w:r>
              <w:rPr>
                <w:sz w:val="18"/>
                <w:szCs w:val="18"/>
                <w:lang w:eastAsia="zh"/>
              </w:rPr>
              <w:t>同步、缺失、质量门、模型复杂度和泛化问题</w:t>
            </w:r>
          </w:p>
        </w:tc>
      </w:tr>
      <w:tr w14:paraId="52FCE1D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922F710">
            <w:pPr>
              <w:spacing w:line="240" w:lineRule="auto"/>
              <w:ind w:firstLine="0" w:firstLineChars="0"/>
              <w:jc w:val="center"/>
              <w:rPr>
                <w:sz w:val="18"/>
                <w:szCs w:val="18"/>
                <w:lang w:eastAsia="zh"/>
              </w:rPr>
            </w:pPr>
            <w:r>
              <w:rPr>
                <w:sz w:val="18"/>
                <w:szCs w:val="18"/>
                <w:lang w:eastAsia="zh"/>
              </w:rPr>
              <w:t>毫米波雷达</w:t>
            </w:r>
          </w:p>
        </w:tc>
        <w:tc>
          <w:tcPr>
            <w:tcW w:w="0" w:type="auto"/>
            <w:vAlign w:val="center"/>
          </w:tcPr>
          <w:p w14:paraId="5D6D09C9">
            <w:pPr>
              <w:spacing w:line="240" w:lineRule="auto"/>
              <w:ind w:firstLine="0" w:firstLineChars="0"/>
              <w:jc w:val="center"/>
              <w:rPr>
                <w:sz w:val="18"/>
                <w:szCs w:val="18"/>
                <w:lang w:eastAsia="zh"/>
              </w:rPr>
            </w:pPr>
            <w:r>
              <w:rPr>
                <w:sz w:val="18"/>
                <w:szCs w:val="18"/>
                <w:lang w:eastAsia="zh"/>
              </w:rPr>
              <w:t>距离、速度、胸壁微动、身体微动及其派生生命体征</w:t>
            </w:r>
          </w:p>
        </w:tc>
        <w:tc>
          <w:tcPr>
            <w:tcW w:w="0" w:type="auto"/>
            <w:vAlign w:val="center"/>
          </w:tcPr>
          <w:p w14:paraId="3B1D5037">
            <w:pPr>
              <w:spacing w:line="240" w:lineRule="auto"/>
              <w:ind w:firstLine="0" w:firstLineChars="0"/>
              <w:jc w:val="center"/>
              <w:rPr>
                <w:sz w:val="18"/>
                <w:szCs w:val="18"/>
                <w:lang w:eastAsia="zh"/>
              </w:rPr>
            </w:pPr>
            <w:r>
              <w:rPr>
                <w:sz w:val="18"/>
                <w:szCs w:val="18"/>
                <w:lang w:eastAsia="zh"/>
              </w:rPr>
              <w:t>非接触，不直接采集可识别面部图像，可连续感知微动</w:t>
            </w:r>
          </w:p>
        </w:tc>
        <w:tc>
          <w:tcPr>
            <w:tcW w:w="0" w:type="auto"/>
            <w:vAlign w:val="center"/>
          </w:tcPr>
          <w:p w14:paraId="6E9B32E8">
            <w:pPr>
              <w:spacing w:line="240" w:lineRule="auto"/>
              <w:ind w:firstLine="0" w:firstLineChars="0"/>
              <w:jc w:val="center"/>
              <w:rPr>
                <w:sz w:val="18"/>
                <w:szCs w:val="18"/>
                <w:lang w:eastAsia="zh"/>
              </w:rPr>
            </w:pPr>
            <w:r>
              <w:rPr>
                <w:sz w:val="18"/>
                <w:szCs w:val="18"/>
                <w:lang w:eastAsia="zh"/>
              </w:rPr>
              <w:t>运动、杂波、呼吸谐波和姿态影响明显；信号可测不等于注意效度</w:t>
            </w:r>
          </w:p>
        </w:tc>
      </w:tr>
    </w:tbl>
    <w:p w14:paraId="1E556E97">
      <w:pPr>
        <w:ind w:firstLine="420" w:firstLineChars="0"/>
        <w:rPr>
          <w:lang w:eastAsia="zh"/>
        </w:rPr>
      </w:pPr>
    </w:p>
    <w:p w14:paraId="620A20A9">
      <w:pPr>
        <w:ind w:firstLine="420" w:firstLineChars="0"/>
        <w:rPr>
          <w:lang w:eastAsia="zh"/>
        </w:rPr>
      </w:pPr>
      <w:r>
        <w:rPr>
          <w:lang w:eastAsia="zh"/>
        </w:rPr>
        <w:t>毫米波雷达为上述方法体系增加了一种不同的非接触感知路径。调频连续波（frequency-modulated continuous-wave, FMCW）雷达连续发射频率随时间变化的 chirp 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Paterniani 等（2023）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14:paraId="3993ED01">
      <w:pPr>
        <w:ind w:firstLine="420" w:firstLineChars="0"/>
        <w:rPr>
          <w:lang w:eastAsia="zh"/>
        </w:rPr>
      </w:pPr>
      <w:r>
        <w:rPr>
          <w:lang w:eastAsia="zh"/>
        </w:rPr>
        <w:t>生命体征研究已经为毫米波的技术可行性提供了较强证据。Wang 等（2021）提出 mmHRV 系统，使用商用毫米波设备估计心搏时点和心搏间期，在 11 名参与者的实验中报告中位 IBI 误差为 28 ms，并以其定义对应为 96.16% 的准确水平；非视距条件下的 IBI 均方根误差为 31.71 ms。Chen、Yuan 和 Tang（2024）则针对人体微动和呼吸谐波干扰设计信号处理方法，在其实验条件下报告心率估计相对于参考心率约 1.69%～2.61% 的误差。这些研究说明毫米波能够在特定设备、距离、姿态和算法条件下获得较精细的生命体征估计，但不同研究的实验设置和参考设备并不相同，因此不能据此得出“毫米波生命体征准确性问题已经解决”的一般性结论。</w:t>
      </w:r>
    </w:p>
    <w:p w14:paraId="7AF811A2">
      <w:pPr>
        <w:ind w:firstLine="420" w:firstLineChars="0"/>
        <w:rPr>
          <w:lang w:eastAsia="zh"/>
        </w:rPr>
      </w:pPr>
      <w:r>
        <w:rPr>
          <w:lang w:eastAsia="zh"/>
        </w:rPr>
        <w:t>毫米波也开始被用于注意、专注和疲劳相关状态的识别。Ge 等（2024）使用商用毫米波设备检测眨眼、点头、打哈欠和腿部抖动等所谓 concentration-related activities，并在 10 名参与者中报告总体动作识别准确率为 95.3%。这一结果证明毫米波能够区分若干与专注状态可能相关的细粒度动作，但模型直接识别的是动作类别，而不是经过独立心理效标验证的持续注意构念。Zhu 等（2023）的 mmDrive 系统进一步在模拟与真实驾驶环境中同时检测点头、打哈欠、眨眼、呼吸和心搏等疲劳特征，其中点头和打哈欠检测平均准确率约为 96%，最终疲劳判定准确率为 97.63%。该研究说明毫米波可以在驾驶场景中整合多类外显与生理特征，但“驾驶疲劳”与本研究所关注的持续注意状态并不是同一构念，不能直接将其分类性能转移为持续注意测评效度。</w:t>
      </w:r>
    </w:p>
    <w:p w14:paraId="19C95EA1">
      <w:pPr>
        <w:ind w:firstLine="420" w:firstLineChars="0"/>
        <w:rPr>
          <w:lang w:eastAsia="zh"/>
        </w:rPr>
      </w:pPr>
      <w:r>
        <w:rPr>
          <w:lang w:eastAsia="zh"/>
        </w:rPr>
        <w:t>研究方向也正在从离散动作分类扩展到连续的任务投入估计。Younas 等（2026）在桌面手—物交互任务中提出基于 FMCW 毫米波雷达的连续注意与 task focus 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14:paraId="5D3FF3D2">
      <w:pPr>
        <w:ind w:firstLine="420" w:firstLineChars="0"/>
        <w:rPr>
          <w:lang w:eastAsia="zh"/>
        </w:rPr>
      </w:pPr>
      <w:r>
        <w:rPr>
          <w:lang w:eastAsia="zh"/>
        </w:rPr>
        <w:t>由此，毫米波用于注意测评至少需要跨越两个相互独立的验证层级。第一层是信号层验证，即雷达能否在给定运动、姿态和环境条件下可靠提取目标微动、心率或呼吸等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毫米波从“人体感知设备”进一步用于持续注意测评时最关键的研究缺口。</w:t>
      </w:r>
    </w:p>
    <w:p w14:paraId="3C53F136">
      <w:pPr>
        <w:ind w:firstLine="420" w:firstLineChars="0"/>
        <w:rPr>
          <w:lang w:eastAsia="zh"/>
        </w:rPr>
      </w:pPr>
      <w:r>
        <w:rPr>
          <w:lang w:eastAsia="zh"/>
        </w:rPr>
        <w:t>基于上述研究，毫米波在持续注意测评中的价值不宜由单一生命体征估计或动作识别性能加以定义，而应通过其与标准化认知任务中的行为表现和主观状态之间的对应关系进行检验。FocusWave 因此以 SART 行为和思维探针作为认知参照，将毫米波获得的心率、呼吸与身体微动视为不同层面的生理与行为特征，并进一步考察这些特征在控制任务进程和个体差异后是否与持续注意的个体内波动相关。这样的设计既利用了毫米波非接触、连续感知人体微动的特点，也避免将生理信号提取能力直接等同于持续注意的测量效度</w:t>
      </w:r>
      <w:r>
        <w:rPr>
          <w:rFonts w:hint="eastAsia"/>
          <w:lang w:eastAsia="zh"/>
        </w:rPr>
        <w:t>。</w:t>
      </w:r>
    </w:p>
    <w:p w14:paraId="6AFF4908">
      <w:pPr>
        <w:ind w:firstLine="420" w:firstLineChars="0"/>
        <w:rPr>
          <w:lang w:eastAsia="zh"/>
        </w:rPr>
      </w:pPr>
    </w:p>
    <w:p w14:paraId="7B5985DF">
      <w:pPr>
        <w:pStyle w:val="4"/>
        <w:rPr>
          <w:lang w:eastAsia="zh"/>
        </w:rPr>
      </w:pPr>
      <w:r>
        <w:rPr>
          <w:rFonts w:hint="eastAsia"/>
          <w:lang w:eastAsia="zh"/>
        </w:rPr>
        <w:t xml:space="preserve"> 2.5 多模态持续注意测量</w:t>
      </w:r>
    </w:p>
    <w:p w14:paraId="476BAB4C">
      <w:pPr>
        <w:ind w:firstLine="420" w:firstLineChars="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pPr>
        <w:ind w:firstLine="420" w:firstLineChars="0"/>
        <w:rPr>
          <w:lang w:eastAsia="zh"/>
        </w:rPr>
      </w:pPr>
      <w:r>
        <w:rPr>
          <w:lang w:eastAsia="zh"/>
        </w:rPr>
        <w:t>这一思路与心理测量中的构念效度一致。Cronbach 和 Meehl（1955）指出，构念的测量意义需要通过其与其他变量之间有理论依据的关系逐步建立，而不能由单一指标本身决定。Campbell 和 Fiske（1959）进一步提出多特质—多方法矩阵（multitrait-multimethod matrix, MTMM），强调聚合效度（convergent validity）与区分效度（discriminant validity）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pPr>
        <w:ind w:firstLine="420" w:firstLineChars="0"/>
        <w:rPr>
          <w:lang w:eastAsia="zh"/>
        </w:rPr>
      </w:pPr>
      <w:r>
        <w:rPr>
          <w:lang w:eastAsia="zh"/>
        </w:rPr>
        <w:t>多模态数据还带来单一模态研究中较少出现的时间与表征问题。Baltrušaitis、Ahuja 和 Morency（2019）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pPr>
        <w:ind w:firstLine="420" w:firstLineChars="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不同模态的测量误差和可用性也并不相同。瞳孔容易受到视觉刺激、眨眼和遮挡影响，视频特征受光照、姿态和遮挡限制，毫米波生命体征估计则会受到身体运动、环境反射和呼吸谐波影响。Baltrušaitis 等（2019）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pPr>
        <w:ind w:firstLine="420" w:firstLineChars="0"/>
        <w:rPr>
          <w:lang w:eastAsia="zh"/>
        </w:rPr>
      </w:pPr>
      <w:r>
        <w:rPr>
          <w:lang w:eastAsia="zh"/>
        </w:rPr>
        <w:t>已有相邻领域研究显示，多模态整合具有潜在增益，但这种优势高度依赖任务和数据条件。D'Mello 和 Kory（2015）对 90 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pPr>
        <w:ind w:firstLine="420" w:firstLineChars="0"/>
        <w:rPr>
          <w:lang w:eastAsia="zh"/>
        </w:rPr>
      </w:pPr>
      <w:r>
        <w:rPr>
          <w:lang w:eastAsia="zh"/>
        </w:rPr>
        <w:t>持续注意的时间动态还要求区分个体间差异与个体内变化。Curran 和 Bauer（2011）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pPr>
        <w:ind w:firstLine="420" w:firstLineChars="0"/>
        <w:rPr>
          <w:lang w:eastAsia="zh"/>
        </w:rPr>
      </w:pPr>
      <w:r>
        <w:rPr>
          <w:lang w:eastAsia="zh"/>
        </w:rPr>
        <w:t>从测评学角度看，多模态系统的目标不应是将所有可获得特征压缩成一个未经验证的“专注分数”，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同时记录多个信号”的测量意义。</w:t>
      </w:r>
    </w:p>
    <w:p w14:paraId="155C7009">
      <w:pPr>
        <w:ind w:firstLine="420" w:firstLineChars="0"/>
        <w:rPr>
          <w:lang w:eastAsia="zh"/>
        </w:rPr>
      </w:pPr>
      <w:r>
        <w:rPr>
          <w:lang w:eastAsia="zh"/>
        </w:rPr>
        <w:t>基于上述原则，FocusWave 将多模态信息组织为相互补充而非相互替代的测量层次：SART 行为与思维探针用于描述任务表现和主观注意状态，近红外成像提供瞳孔动态，毫米波记录心肺相关微动与身体运动，RGB 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pPr>
        <w:ind w:firstLine="0" w:firstLineChars="0"/>
        <w:rPr>
          <w:lang w:eastAsia="zh"/>
        </w:rPr>
      </w:pPr>
    </w:p>
    <w:p w14:paraId="55DF52A3">
      <w:pPr>
        <w:pStyle w:val="3"/>
        <w:rPr>
          <w:lang w:eastAsia="zh"/>
        </w:rPr>
      </w:pPr>
      <w:r>
        <w:rPr>
          <w:rFonts w:hint="eastAsia"/>
          <w:lang w:eastAsia="zh-CN"/>
        </w:rPr>
        <w:t xml:space="preserve">3 </w:t>
      </w:r>
      <w:r>
        <w:rPr>
          <w:rFonts w:hint="eastAsia"/>
          <w:lang w:eastAsia="zh"/>
        </w:rPr>
        <w:t>研究目标与研究问题</w:t>
      </w:r>
    </w:p>
    <w:p w14:paraId="670E1ABD">
      <w:pPr>
        <w:jc w:val="center"/>
      </w:pPr>
      <w:r>
        <w:drawing>
          <wp:inline distT="0" distB="0" distL="114300" distR="114300">
            <wp:extent cx="5219700" cy="6785610"/>
            <wp:effectExtent l="0" t="0" r="5080" b="4445"/>
            <wp:docPr id="1688596215" name="Picture 1688596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5" name="Picture 1688596215"/>
                    <pic:cNvPicPr>
                      <a:picLocks noChangeAspect="1"/>
                    </pic:cNvPicPr>
                  </pic:nvPicPr>
                  <pic:blipFill>
                    <a:blip r:embed="rId14"/>
                    <a:stretch>
                      <a:fillRect/>
                    </a:stretch>
                  </pic:blipFill>
                  <pic:spPr>
                    <a:xfrm>
                      <a:off x="0" y="0"/>
                      <a:ext cx="5220000" cy="6786000"/>
                    </a:xfrm>
                    <a:prstGeom prst="rect">
                      <a:avLst/>
                    </a:prstGeom>
                  </pic:spPr>
                </pic:pic>
              </a:graphicData>
            </a:graphic>
          </wp:inline>
        </w:drawing>
      </w:r>
    </w:p>
    <w:p w14:paraId="0AA1ED79">
      <w:pPr>
        <w:jc w:val="center"/>
      </w:pPr>
      <w:r>
        <w:rPr>
          <w:rFonts w:ascii="Times New Roman" w:hAnsi="Times New Roman" w:eastAsia="宋体"/>
          <w:b/>
          <w:sz w:val="21"/>
        </w:rPr>
        <w:t>图 1 FocusWave 多模态持续注意测评技术路线</w:t>
      </w:r>
    </w:p>
    <w:p w14:paraId="59D80761">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pPr>
        <w:ind w:firstLine="420"/>
        <w:rPr>
          <w:bCs/>
          <w:lang w:eastAsia="zh"/>
        </w:rPr>
      </w:pPr>
      <w:r>
        <w:rPr>
          <w:bCs/>
          <w:lang w:eastAsia="zh"/>
        </w:rPr>
        <w:t>基于上述问题，本研究旨在构建一套面向持续注意动态变化的多模态测评框架。该框架以游戏化持续性注意反应任务（SART）提供统一任务情境，以行为表现和思维探针分别表征可观察的任务表现与可报告的主观状态，并同步获得近红外眼部、毫米波雷达和 RGB 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pPr>
        <w:pStyle w:val="4"/>
        <w:rPr>
          <w:lang w:eastAsia="zh-CN"/>
        </w:rPr>
      </w:pPr>
      <w:r>
        <w:rPr>
          <w:lang w:eastAsia="zh-CN"/>
        </w:rPr>
        <w:t>3.1 研究问题</w:t>
      </w:r>
    </w:p>
    <w:p w14:paraId="12E1ED38">
      <w:pPr>
        <w:ind w:firstLine="360" w:firstLineChars="0"/>
        <w:rPr>
          <w:bCs/>
          <w:lang w:eastAsia="zh"/>
        </w:rPr>
      </w:pPr>
      <w:r>
        <w:rPr>
          <w:bCs/>
          <w:lang w:eastAsia="zh"/>
        </w:rPr>
        <w:t>围绕上述目标，研究提出三个相互衔接的问题。</w:t>
      </w:r>
    </w:p>
    <w:p w14:paraId="0056389E">
      <w:pPr>
        <w:numPr>
          <w:ilvl w:val="0"/>
          <w:numId w:val="1"/>
        </w:numPr>
        <w:ind w:firstLineChars="0"/>
        <w:rPr>
          <w:bCs/>
          <w:lang w:eastAsia="zh"/>
        </w:rPr>
      </w:pPr>
      <w:r>
        <w:rPr>
          <w:bCs/>
          <w:lang w:eastAsia="zh"/>
        </w:rPr>
        <w:t>游戏化 SART 中的反应速度、反应稳定性、Go 遗漏、No-Go 错误按键以及辨别力等行为指标，如何从各自适用的试次、探针前窗口、区块和场次尺度描述持续注意表现，并与思维探针记录的注意内容和警觉程度相联系？</w:t>
      </w:r>
    </w:p>
    <w:p w14:paraId="06C6AC84">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在考虑任务时间进程、参与者差异以及各模态特有影响因素后，近红外瞳孔动态、毫米波心肺相关微动与身体运动、RGB 头部和眼睑等可见行为特征，分别与行为表现和思维探针呈现怎样的对应关系？这些关系主要体现为稳定的个体间差异，还是同一个体相对于自身平均水平的动态变化？</w:t>
      </w:r>
    </w:p>
    <w:p w14:paraId="0ED4F064">
      <w:pPr>
        <w:numPr>
          <w:ilvl w:val="0"/>
          <w:numId w:val="1"/>
        </w:numPr>
        <w:ind w:firstLineChars="0"/>
        <w:rPr>
          <w:bCs/>
          <w:lang w:eastAsia="zh"/>
        </w:rPr>
      </w:pPr>
      <w:r>
        <w:rPr>
          <w:bCs/>
          <w:lang w:eastAsia="zh"/>
        </w:rPr>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pPr>
        <w:pStyle w:val="4"/>
        <w:rPr>
          <w:sz w:val="36"/>
          <w:szCs w:val="36"/>
          <w:lang w:eastAsia="zh-CN"/>
        </w:rPr>
      </w:pPr>
      <w:r>
        <w:rPr>
          <w:lang w:eastAsia="zh-CN"/>
        </w:rPr>
        <w:t>3.2 研究假设与分析预期</w:t>
      </w:r>
    </w:p>
    <w:p w14:paraId="31947459">
      <w:pPr>
        <w:ind w:firstLine="420" w:firstLineChars="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 Go 遗漏与 No-Go 错误按键具有不同的任务要求和形成过程，两类错误分别检验，不预设其必然沿同一方向变化。</w:t>
      </w:r>
    </w:p>
    <w:p w14:paraId="274055D2">
      <w:pPr>
        <w:ind w:firstLine="420" w:firstLineChars="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 RGB 特征在控制相关影响因素后，与同一个体内部随时间变化的行为表现或主观状态存在可重复关联，并且这种关联不能完全由共同的任务时间趋势或稳定个体差异解释。</w:t>
      </w:r>
    </w:p>
    <w:p w14:paraId="6A292ACF">
      <w:pPr>
        <w:ind w:firstLine="420" w:firstLineChars="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pPr>
        <w:ind w:firstLine="0" w:firstLineChars="0"/>
        <w:rPr>
          <w:bCs/>
          <w:lang w:eastAsia="zh"/>
        </w:rPr>
      </w:pPr>
    </w:p>
    <w:p w14:paraId="02B79FCC">
      <w:pPr>
        <w:pStyle w:val="3"/>
        <w:rPr>
          <w:lang w:eastAsia="zh-CN" w:bidi="ar"/>
        </w:rPr>
      </w:pPr>
      <w:r>
        <w:rPr>
          <w:rFonts w:hint="eastAsia"/>
          <w:lang w:eastAsia="zh-CN" w:bidi="ar"/>
        </w:rPr>
        <w:t>4 方法</w:t>
      </w:r>
    </w:p>
    <w:p w14:paraId="597A0403">
      <w:pPr>
        <w:pStyle w:val="4"/>
        <w:rPr>
          <w:lang w:eastAsia="zh" w:bidi="ar"/>
        </w:rPr>
      </w:pPr>
      <w:r>
        <w:rPr>
          <w:rFonts w:hint="eastAsia"/>
          <w:lang w:eastAsia="zh-CN" w:bidi="ar"/>
        </w:rPr>
        <w:t xml:space="preserve">4.1 </w:t>
      </w:r>
      <w:r>
        <w:rPr>
          <w:rFonts w:hint="eastAsia"/>
          <w:lang w:eastAsia="zh" w:bidi="ar"/>
        </w:rPr>
        <w:t>参与者与研究结构</w:t>
      </w:r>
    </w:p>
    <w:p w14:paraId="71074E2B">
      <w:pPr>
        <w:ind w:firstLine="420"/>
        <w:rPr>
          <w:lang w:eastAsia="zh"/>
        </w:rPr>
      </w:pPr>
      <w:r>
        <w:rPr>
          <w:lang w:eastAsia="zh"/>
        </w:rPr>
        <w:t>本研究由两阶段预实验和正式实验构成。第一阶段预实验由 11 名参与者各完成一次实验，其中 10 名参与者具有配套的事后问卷；第二阶段预实验由 17 名参与者完成 20 次实验；正式实验由 63 名参与者完成 119 次实验。两阶段预实验分别用于筛选任务条件和检验长时实验流程，正式实验采用由预实验形成的统一任务方案，考察持续注意随任务进程变化时的行为表现、主观体验及多模态表征。</w:t>
      </w:r>
    </w:p>
    <w:p w14:paraId="404EBA43">
      <w:pPr>
        <w:ind w:firstLine="420"/>
        <w:rPr>
          <w:lang w:eastAsia="zh"/>
        </w:rPr>
      </w:pPr>
      <w:r>
        <w:rPr>
          <w:lang w:eastAsia="zh"/>
        </w:rPr>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pPr>
        <w:pStyle w:val="4"/>
        <w:rPr>
          <w:rFonts w:hint="eastAsia" w:ascii="宋体" w:hAnsi="宋体" w:cs="宋体"/>
          <w:szCs w:val="24"/>
          <w:lang w:eastAsia="zh-CN"/>
        </w:rPr>
      </w:pPr>
      <w:r>
        <w:rPr>
          <w:rFonts w:hint="eastAsia"/>
          <w:lang w:eastAsia="zh-CN" w:bidi="ar"/>
        </w:rPr>
        <w:t xml:space="preserve">4.2 </w:t>
      </w:r>
      <w:r>
        <w:rPr>
          <w:rFonts w:ascii="宋体" w:hAnsi="宋体" w:cs="宋体"/>
          <w:szCs w:val="24"/>
          <w:lang w:eastAsia="zh-CN"/>
        </w:rPr>
        <w:t>实验设计与程序</w:t>
      </w:r>
    </w:p>
    <w:p w14:paraId="71BE4CD3">
      <w:pPr>
        <w:ind w:firstLine="420"/>
        <w:rPr>
          <w:rFonts w:cs="Times New Roman"/>
          <w:lang w:eastAsia="zh"/>
        </w:rPr>
      </w:pPr>
      <w:r>
        <w:rPr>
          <w:rFonts w:cs="Times New Roman"/>
        </w:rPr>
        <w:t>本研究各阶段均采用游戏化持续性注意反应任务“榨汁大师”。屏幕中央连续呈现九类像素风水果，其中苹果为 No-Go 刺激，其余</w:t>
      </w:r>
      <w:commentRangeStart w:id="0"/>
      <w:commentRangeStart w:id="1"/>
      <w:r>
        <w:rPr>
          <w:rFonts w:cs="Times New Roman"/>
        </w:rPr>
        <w:t>八类水果</w:t>
      </w:r>
      <w:commentRangeEnd w:id="0"/>
      <w:r>
        <w:rPr>
          <w:rStyle w:val="27"/>
        </w:rPr>
        <w:commentReference w:id="0"/>
      </w:r>
      <w:commentRangeEnd w:id="1"/>
      <w:r>
        <w:commentReference w:id="1"/>
      </w:r>
      <w:r>
        <w:rPr>
          <w:rFonts w:cs="Times New Roman"/>
        </w:rPr>
        <w:t>为 Go 刺激。实验任务按任务区块（Block）组织</w:t>
      </w:r>
      <w:r>
        <w:rPr>
          <w:rFonts w:hint="eastAsia" w:cs="Times New Roman"/>
        </w:rPr>
        <w:t>。</w:t>
      </w:r>
      <w:r>
        <w:rPr>
          <w:rFonts w:cs="Times New Roman"/>
        </w:rPr>
        <w:t>参与者看到 Go 刺激时按空格键反应，看到苹果时抑制按键。每个试次先呈现水果 250 ms，随后呈现掩蔽画面 900 ms，基本试次时长为 1150 ms。水果以原始尺寸的 80%、100% 和 120% 三种大小呈现，以增加视觉变化并减少仅凭固定局部特征完成任务的可能性。</w:t>
      </w:r>
    </w:p>
    <w:p w14:paraId="41431197">
      <w:pPr>
        <w:keepNext/>
        <w:ind w:firstLine="0" w:firstLineChars="0"/>
        <w:jc w:val="center"/>
      </w:pPr>
      <w:r>
        <w:rPr>
          <w:rFonts w:hint="eastAsia"/>
          <w:lang w:bidi="ar"/>
        </w:rPr>
        <w:drawing>
          <wp:inline distT="0" distB="0" distL="0" distR="0">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pPr>
        <w:pStyle w:val="11"/>
        <w:rPr>
          <w:rFonts w:cs="Times New Roman"/>
          <w:lang w:eastAsia="zh-CN"/>
        </w:rPr>
      </w:pPr>
      <w:r>
        <w:rPr>
          <w:rFonts w:hint="eastAsia"/>
          <w:lang w:eastAsia="zh-CN"/>
        </w:rPr>
        <w:t>图 2 不同大小的刺激呈现示例图</w:t>
      </w:r>
    </w:p>
    <w:p w14:paraId="78221463">
      <w:pPr>
        <w:ind w:firstLine="420"/>
        <w:rPr>
          <w:rFonts w:cs="Times New Roman"/>
        </w:rPr>
      </w:pPr>
      <w:r>
        <w:rPr>
          <w:rFonts w:cs="Times New Roman"/>
        </w:rPr>
        <w:t>任务过程中穿插思维探针，用于记录与连续行为表现处于同一任务时间轴上的即时主观状态。SART 试次提供持续注意的行为表现，思维探针提供对近期主观体验的任务内参照。</w:t>
      </w:r>
    </w:p>
    <w:p w14:paraId="4868FD14">
      <w:pPr>
        <w:keepNext/>
        <w:ind w:firstLine="0" w:firstLineChars="0"/>
        <w:jc w:val="center"/>
      </w:pPr>
      <w:r>
        <w:rPr>
          <w:lang w:bidi="ar"/>
        </w:rPr>
        <w:drawing>
          <wp:inline distT="0" distB="0" distL="0" distR="0">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6"/>
                    <a:srcRect t="499" b="499"/>
                    <a:stretch>
                      <a:fillRect/>
                    </a:stretch>
                  </pic:blipFill>
                  <pic:spPr>
                    <a:xfrm>
                      <a:off x="0" y="0"/>
                      <a:ext cx="5225529" cy="2910030"/>
                    </a:xfrm>
                    <a:prstGeom prst="rect">
                      <a:avLst/>
                    </a:prstGeom>
                  </pic:spPr>
                </pic:pic>
              </a:graphicData>
            </a:graphic>
          </wp:inline>
        </w:drawing>
      </w:r>
    </w:p>
    <w:p w14:paraId="1A7F33C2">
      <w:pPr>
        <w:pStyle w:val="11"/>
        <w:rPr>
          <w:lang w:eastAsia="zh-CN"/>
        </w:rPr>
      </w:pPr>
      <w:r>
        <w:rPr>
          <w:rFonts w:hint="eastAsia"/>
          <w:lang w:eastAsia="zh-CN"/>
        </w:rPr>
        <w:t>图 3 预实验流程 (A) 各试验类型的时间结构与关键时间节点</w:t>
      </w:r>
    </w:p>
    <w:p w14:paraId="37796BA1">
      <w:pPr>
        <w:keepNext/>
        <w:ind w:firstLine="0" w:firstLineChars="0"/>
        <w:jc w:val="center"/>
      </w:pPr>
      <w:bookmarkStart w:id="0" w:name="_GoBack"/>
      <w:r>
        <w:rPr>
          <w:lang w:bidi="ar"/>
        </w:rPr>
        <w:drawing>
          <wp:inline distT="0" distB="0" distL="0" distR="0">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7"/>
                    <a:srcRect l="1913" r="1913"/>
                    <a:stretch>
                      <a:fillRect/>
                    </a:stretch>
                  </pic:blipFill>
                  <pic:spPr>
                    <a:xfrm>
                      <a:off x="0" y="0"/>
                      <a:ext cx="4651083" cy="2720336"/>
                    </a:xfrm>
                    <a:prstGeom prst="rect">
                      <a:avLst/>
                    </a:prstGeom>
                  </pic:spPr>
                </pic:pic>
              </a:graphicData>
            </a:graphic>
          </wp:inline>
        </w:drawing>
      </w:r>
      <w:bookmarkEnd w:id="0"/>
    </w:p>
    <w:p w14:paraId="6F72A633">
      <w:pPr>
        <w:pStyle w:val="11"/>
        <w:rPr>
          <w:lang w:eastAsia="zh-CN"/>
        </w:rPr>
      </w:pPr>
      <w:r>
        <w:rPr>
          <w:rFonts w:hint="eastAsia"/>
          <w:lang w:eastAsia="zh-CN"/>
        </w:rPr>
        <w:t>图 4 实验流程 (B) 屏幕呈现的视觉刺激序列</w:t>
      </w:r>
    </w:p>
    <w:p w14:paraId="7DCC92AB">
      <w:pPr>
        <w:pStyle w:val="35"/>
        <w:ind w:firstLine="420"/>
      </w:pPr>
      <w:r>
        <w:rPr>
          <w:rFonts w:hint="eastAsia"/>
        </w:rPr>
        <w:t>注：图2和图3均为预实验阶段二和正式实验双问题探针流程示意图。</w:t>
      </w:r>
    </w:p>
    <w:p w14:paraId="3B76FC65">
      <w:pPr>
        <w:pStyle w:val="4"/>
        <w:rPr>
          <w:rFonts w:hAnsi="Times New Roman" w:cs="Times New Roman"/>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 </w:t>
      </w:r>
      <w:r>
        <w:rPr>
          <w:rFonts w:hint="eastAsia" w:hAnsi="Times New Roman" w:cs="Times New Roman"/>
          <w:lang w:eastAsia="zh"/>
        </w:rPr>
        <w:t>两阶段预实验与正式方案的形成</w:t>
      </w:r>
    </w:p>
    <w:p w14:paraId="5EBD71C0">
      <w:pPr>
        <w:pStyle w:val="5"/>
        <w:rPr>
          <w:rFonts w:cs="Times New Roman"/>
          <w:bCs/>
          <w:lang w:eastAsia="zh" w:bidi="ar"/>
        </w:rPr>
      </w:pPr>
      <w:r>
        <w:rPr>
          <w:rFonts w:hint="eastAsia" w:cs="Times New Roman"/>
          <w:lang w:eastAsia="zh" w:bidi="ar"/>
        </w:rPr>
        <w:t>4.3.1 第一阶段：</w:t>
      </w:r>
      <w:r>
        <w:rPr>
          <w:rFonts w:cs="Times New Roman"/>
          <w:bCs/>
          <w:lang w:eastAsia="zh" w:bidi="ar"/>
        </w:rPr>
        <w:t>任务条件筛选</w:t>
      </w:r>
    </w:p>
    <w:p w14:paraId="63C51CFA">
      <w:pPr>
        <w:ind w:firstLine="420" w:firstLineChars="0"/>
        <w:rPr>
          <w:rFonts w:cs="Times New Roman"/>
          <w:lang w:eastAsia="zh" w:bidi="ar"/>
        </w:rPr>
      </w:pPr>
      <w:r>
        <w:rPr>
          <w:rFonts w:cs="Times New Roman"/>
          <w:lang w:eastAsia="zh" w:bidi="ar"/>
        </w:rPr>
        <w:t>第一阶段预实验由 11 名参与者完成，采用 6 个 Block，顺序为 A-B-C-C-B-A。每个 Block 包含 216 个试次，A、B、C 三种条件的 No-Go 比例分别为 22.2%、11.1% 和 6.25%。三种条件通过改变持续按键与反应抑制的相对频率，比较不同任务负荷下的持续注意表现。每个 Block 的刺激由一个 18 试次序列重复 12 次构成，并插入单题思维探针记录注意内容。</w:t>
      </w:r>
    </w:p>
    <w:p w14:paraId="1BF59BAF">
      <w:pPr>
        <w:ind w:firstLine="420" w:firstLineChars="0"/>
        <w:rPr>
          <w:rFonts w:cs="Times New Roman"/>
          <w:lang w:eastAsia="zh" w:bidi="ar"/>
        </w:rPr>
      </w:pPr>
      <w:r>
        <w:rPr>
          <w:rFonts w:cs="Times New Roman"/>
          <w:lang w:eastAsia="zh" w:bidi="ar"/>
        </w:rPr>
        <w:t xml:space="preserve">第一阶段的预实验行为分析基于 </w:t>
      </w:r>
      <w:commentRangeStart w:id="2"/>
      <w:r>
        <w:rPr>
          <w:rFonts w:cs="Times New Roman"/>
          <w:lang w:eastAsia="zh" w:bidi="ar"/>
        </w:rPr>
        <w:t>8 份完整记录</w:t>
      </w:r>
      <w:commentRangeEnd w:id="2"/>
      <w:r>
        <w:rPr>
          <w:rStyle w:val="27"/>
        </w:rPr>
        <w:commentReference w:id="2"/>
      </w:r>
      <w:r>
        <w:rPr>
          <w:rFonts w:cs="Times New Roman"/>
          <w:lang w:eastAsia="zh" w:bidi="ar"/>
        </w:rPr>
        <w:t>，没有显示随 No-Go 比例变化而出现稳定的单调难度梯度；同一 B 条件在任务前段和后段的表现差异提示任务进程本身也会影响行为表现。固定循环还可能使 No-Go 的相对位置逐渐变得可预测，使任务条件、序列规律和任务时间相互混杂。结合行为表现和参与者反馈，No-Go 比例为 11.1% 的 B 条件在持续反应要求、抑制机会和任务可完成性之间取得了较合适的平衡，因此被保留为统一任务条件。</w:t>
      </w:r>
    </w:p>
    <w:p w14:paraId="18C3437C">
      <w:pPr>
        <w:ind w:firstLine="420" w:firstLineChars="0"/>
        <w:rPr>
          <w:rFonts w:cs="Times New Roman"/>
          <w:lang w:eastAsia="zh"/>
        </w:rPr>
      </w:pPr>
      <w:r>
        <w:rPr>
          <w:rFonts w:cs="Times New Roman"/>
          <w:lang w:eastAsia="zh" w:bidi="ar"/>
        </w:rPr>
        <w:t>第一阶段还显示，216 个试次形成的单个 Block 较短，不利于观察缓慢累积的表现波动</w:t>
      </w:r>
      <w:r>
        <w:rPr>
          <w:rFonts w:hint="eastAsia" w:cs="Times New Roman"/>
          <w:lang w:eastAsia="zh" w:bidi="ar"/>
        </w:rPr>
        <w:t>，</w:t>
      </w:r>
      <w:commentRangeStart w:id="3"/>
      <w:commentRangeStart w:id="4"/>
      <w:r>
        <w:rPr>
          <w:rFonts w:hint="eastAsia" w:cs="Times New Roman"/>
          <w:lang w:eastAsia="zh" w:bidi="ar"/>
        </w:rPr>
        <w:t>且</w:t>
      </w:r>
      <w:r>
        <w:rPr>
          <w:rFonts w:cs="Times New Roman"/>
          <w:lang w:eastAsia="zh" w:bidi="ar"/>
        </w:rPr>
        <w:t>思维探针的出现频率和作答范围也需要进一步标准化</w:t>
      </w:r>
      <w:commentRangeEnd w:id="3"/>
      <w:r>
        <w:rPr>
          <w:rStyle w:val="27"/>
        </w:rPr>
        <w:commentReference w:id="3"/>
      </w:r>
      <w:commentRangeEnd w:id="4"/>
      <w:r>
        <w:commentReference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hint="eastAsia" w:cs="Times New Roman"/>
          <w:lang w:bidi="ar"/>
        </w:rPr>
        <w:t>根据反馈</w:t>
      </w:r>
      <w:r>
        <w:rPr>
          <w:rFonts w:hint="eastAsia" w:cs="Times New Roman"/>
          <w:lang w:eastAsia="zh-CN" w:bidi="ar"/>
        </w:rPr>
        <w:t>调整</w:t>
      </w:r>
      <w:r>
        <w:rPr>
          <w:rFonts w:hint="eastAsia" w:cs="Times New Roman"/>
          <w:lang w:bidi="ar"/>
        </w:rPr>
        <w:t>减少了探针出现频率，控制被试的被打断感。</w:t>
      </w:r>
      <w:commentRangeEnd w:id="5"/>
      <w:r>
        <w:commentReference w:id="5"/>
      </w:r>
      <w:commentRangeStart w:id="6"/>
      <w:r>
        <w:rPr>
          <w:rFonts w:cs="Times New Roman"/>
          <w:lang w:eastAsia="zh" w:bidi="ar"/>
        </w:rPr>
        <w:t>将思维探针调整为分别记录注意内容和警觉程度的双问题形式。</w:t>
      </w:r>
      <w:r>
        <w:rPr>
          <w:rFonts w:hint="eastAsia" w:cs="Times New Roman"/>
          <w:lang w:eastAsia="zh"/>
        </w:rPr>
        <w:t>同时，在问卷中发现，多数被试</w:t>
      </w:r>
      <w:r>
        <w:rPr>
          <w:rFonts w:hint="eastAsia" w:cs="Times New Roman"/>
        </w:rPr>
        <w:t>将</w:t>
      </w:r>
      <w:r>
        <w:rPr>
          <w:rFonts w:hint="eastAsia" w:cs="Times New Roman"/>
          <w:lang w:eastAsia="zh"/>
        </w:rPr>
        <w:t>探针中的</w:t>
      </w:r>
      <w:r>
        <w:rPr>
          <w:rFonts w:hint="eastAsia" w:cs="Times New Roman"/>
        </w:rPr>
        <w:t>“刚才状态”理解成了“从上一次探针到这一次探针”的时间段内的主要状态，而非实验真正想要询问的“探针出现这一刻”的状态。因此在正式实验中将探针的表述修改为“探针出现的前一刻”。</w:t>
      </w:r>
      <w:commentRangeEnd w:id="6"/>
      <w:r>
        <w:commentReference w:id="6"/>
      </w:r>
    </w:p>
    <w:p w14:paraId="384B68E5">
      <w:pPr>
        <w:ind w:firstLine="420" w:firstLineChars="0"/>
        <w:rPr>
          <w:rFonts w:cs="Times New Roman"/>
          <w:lang w:eastAsia="zh" w:bidi="ar"/>
        </w:rPr>
      </w:pPr>
    </w:p>
    <w:p w14:paraId="1E17C75B">
      <w:pPr>
        <w:ind w:firstLine="0" w:firstLineChars="0"/>
        <w:jc w:val="center"/>
        <w:rPr>
          <w:lang w:bidi="ar"/>
        </w:rPr>
      </w:pPr>
      <w:r>
        <w:rPr>
          <w:rFonts w:hint="eastAsia"/>
          <w:lang w:bidi="ar"/>
        </w:rPr>
        <w:drawing>
          <wp:inline distT="0" distB="0" distL="0" distR="0">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25D7E5D5">
      <w:pPr>
        <w:jc w:val="center"/>
      </w:pPr>
      <w:r>
        <w:rPr>
          <w:rFonts w:ascii="Times New Roman" w:hAnsi="Times New Roman" w:eastAsia="宋体"/>
          <w:b/>
          <w:sz w:val="21"/>
        </w:rPr>
        <w:t>图 5 实验任务界面示例</w:t>
      </w:r>
    </w:p>
    <w:p w14:paraId="6E0AB313">
      <w:pPr>
        <w:jc w:val="center"/>
      </w:pPr>
      <w:r>
        <w:rPr>
          <w:rFonts w:ascii="Times New Roman" w:hAnsi="Times New Roman" w:eastAsia="宋体"/>
          <w:b w:val="0"/>
          <w:sz w:val="18"/>
        </w:rPr>
        <w:t>注：任务界面以“榨汁大师”游戏情境呈现 SART 刺激。</w:t>
      </w:r>
    </w:p>
    <w:p w14:paraId="0606BFAF">
      <w:pPr>
        <w:ind w:firstLine="0" w:firstLineChars="0"/>
        <w:jc w:val="center"/>
        <w:rPr>
          <w:lang w:bidi="ar"/>
        </w:rPr>
      </w:pPr>
      <w:r>
        <w:drawing>
          <wp:inline distT="0" distB="0" distL="114300" distR="114300">
            <wp:extent cx="3239770" cy="2427605"/>
            <wp:effectExtent l="0" t="0" r="9525" b="1270"/>
            <wp:docPr id="1688596212" name="Picture 1688596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2" name="Picture 1688596212"/>
                    <pic:cNvPicPr>
                      <a:picLocks noChangeAspect="1"/>
                    </pic:cNvPicPr>
                  </pic:nvPicPr>
                  <pic:blipFill>
                    <a:blip r:embed="rId19"/>
                    <a:stretch>
                      <a:fillRect/>
                    </a:stretch>
                  </pic:blipFill>
                  <pic:spPr>
                    <a:xfrm>
                      <a:off x="0" y="0"/>
                      <a:ext cx="3240000" cy="2428138"/>
                    </a:xfrm>
                    <a:prstGeom prst="rect">
                      <a:avLst/>
                    </a:prstGeom>
                  </pic:spPr>
                </pic:pic>
              </a:graphicData>
            </a:graphic>
          </wp:inline>
        </w:drawing>
      </w:r>
    </w:p>
    <w:p w14:paraId="2FA79A35">
      <w:pPr>
        <w:jc w:val="center"/>
      </w:pPr>
      <w:r>
        <w:rPr>
          <w:rFonts w:ascii="Times New Roman" w:hAnsi="Times New Roman" w:eastAsia="宋体"/>
          <w:b/>
          <w:sz w:val="21"/>
        </w:rPr>
        <w:t>图 6 实验场景示例</w:t>
      </w:r>
    </w:p>
    <w:p w14:paraId="504FD826">
      <w:pPr>
        <w:jc w:val="center"/>
      </w:pPr>
      <w:r>
        <w:rPr>
          <w:rFonts w:ascii="Times New Roman" w:hAnsi="Times New Roman" w:eastAsia="宋体"/>
          <w:b w:val="0"/>
          <w:sz w:val="18"/>
        </w:rPr>
        <w:t>注：被试与多模态采集设备布置示意；图中人脸已作匿名化处理。</w:t>
      </w:r>
    </w:p>
    <w:p>
      <w:pPr>
        <w:jc w:val="center"/>
      </w:pPr>
      <w:r>
        <w:drawing>
          <wp:inline xmlns:a="http://schemas.openxmlformats.org/drawingml/2006/main" xmlns:pic="http://schemas.openxmlformats.org/drawingml/2006/picture">
            <wp:extent cx="4680000" cy="3211434"/>
            <wp:docPr id="1688596216" name="Picture 1688596216"/>
            <wp:cNvGraphicFramePr>
              <a:graphicFrameLocks noChangeAspect="1"/>
            </wp:cNvGraphicFramePr>
            <a:graphic>
              <a:graphicData uri="http://schemas.openxmlformats.org/drawingml/2006/picture">
                <pic:pic>
                  <pic:nvPicPr>
                    <pic:cNvPr id="0" name="orig_111.png"/>
                    <pic:cNvPicPr/>
                  </pic:nvPicPr>
                  <pic:blipFill>
                    <a:blip r:embed="rId39"/>
                    <a:stretch>
                      <a:fillRect/>
                    </a:stretch>
                  </pic:blipFill>
                  <pic:spPr>
                    <a:xfrm>
                      <a:off x="0" y="0"/>
                      <a:ext cx="4680000" cy="3211434"/>
                    </a:xfrm>
                    <a:prstGeom prst="rect"/>
                  </pic:spPr>
                </pic:pic>
              </a:graphicData>
            </a:graphic>
          </wp:inline>
        </w:drawing>
      </w:r>
    </w:p>
    <w:p>
      <w:pPr>
        <w:jc w:val="center"/>
      </w:pPr>
      <w:r>
        <w:rPr>
          <w:b/>
          <w:sz w:val="21"/>
        </w:rPr>
        <w:t>图 7 预实验第一阶段行为指标轨迹（占位编号）</w:t>
      </w:r>
    </w:p>
    <w:p>
      <w:pPr>
        <w:jc w:val="center"/>
      </w:pPr>
      <w:r>
        <w:rPr>
          <w:sz w:val="18"/>
        </w:rPr>
        <w:t>注：6 个 Block（A-B-C-C-B-A）下 d′、No-Go 误按率、Go 遗漏率与 Go RT 的个体轨迹与跨被试中位数。</w:t>
      </w:r>
    </w:p>
    <w:p w14:paraId="6A015F7D">
      <w:pPr>
        <w:pStyle w:val="4"/>
        <w:rPr>
          <w:rFonts w:hint="eastAsia" w:ascii="宋体" w:hAnsi="宋体" w:cs="宋体"/>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.2 </w:t>
      </w:r>
      <w:r>
        <w:rPr>
          <w:rFonts w:hint="eastAsia" w:ascii="宋体" w:hAnsi="宋体" w:cs="宋体"/>
          <w:lang w:eastAsia="zh"/>
        </w:rPr>
        <w:t>第二阶段：长时流程试运行</w:t>
      </w:r>
    </w:p>
    <w:p w14:paraId="0813E922">
      <w:pPr>
        <w:ind w:firstLine="420" w:firstLineChars="0"/>
        <w:rPr>
          <w:rFonts w:cs="Times New Roman"/>
          <w:lang w:eastAsia="zh"/>
        </w:rPr>
      </w:pPr>
      <w:r>
        <w:rPr>
          <w:rFonts w:cs="Times New Roman"/>
          <w:lang w:eastAsia="zh"/>
        </w:rPr>
        <w:t>第二阶段由</w:t>
      </w:r>
      <w:commentRangeStart w:id="7"/>
      <w:r>
        <w:rPr>
          <w:rFonts w:cs="Times New Roman"/>
          <w:lang w:eastAsia="zh"/>
        </w:rPr>
        <w:t xml:space="preserve"> 1</w:t>
      </w:r>
      <w:r>
        <w:rPr>
          <w:rFonts w:hint="eastAsia" w:cs="Times New Roman"/>
          <w:lang w:eastAsia="zh"/>
        </w:rPr>
        <w:t>9</w:t>
      </w:r>
      <w:r>
        <w:rPr>
          <w:rFonts w:cs="Times New Roman"/>
          <w:lang w:eastAsia="zh"/>
        </w:rPr>
        <w:t xml:space="preserve"> 名参与者完成 20 次实验</w:t>
      </w:r>
      <w:commentRangeEnd w:id="7"/>
      <w:r>
        <w:rPr>
          <w:rStyle w:val="27"/>
        </w:rPr>
        <w:commentReference w:id="7"/>
      </w:r>
      <w:r>
        <w:rPr>
          <w:rFonts w:cs="Times New Roman"/>
          <w:lang w:eastAsia="zh"/>
        </w:rPr>
        <w:t>，采用 3 个相同的 B 条件 Block。每个 Block 包含 432 个试次，其中 48 个为 No-Go，比例为 11.1%，并设置 10 次双问题思维探针。刺激序列在保持各类刺激数量和 No-Go 总数一致的基础上进行伪随机排列：开头 10 个试次均为 Go，任意连续 27 个试次至少包含 3 个 No-Go，相邻试次不重复呈现同一水果，以降低固定周期带来的位置预测。</w:t>
      </w:r>
    </w:p>
    <w:p w14:paraId="7EE36AFB">
      <w:pPr>
        <w:ind w:firstLine="420" w:firstLineChars="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非常困倦”到“非常清醒”的四级评分。前一问题作为名义类别变量，后一问题作为有序变量。</w:t>
      </w:r>
    </w:p>
    <w:p w14:paraId="758C10C6">
      <w:pPr>
        <w:ind w:firstLine="420" w:firstLineChars="0"/>
        <w:rPr>
          <w:rFonts w:cs="Times New Roman"/>
          <w:lang w:eastAsia="zh"/>
        </w:rPr>
      </w:pPr>
      <w:r>
        <w:rPr>
          <w:rFonts w:cs="Times New Roman"/>
          <w:lang w:eastAsia="zh"/>
        </w:rPr>
        <w:t>该阶段的行为报告以 19 份有效行为记录为主要分析对象。统一 B 条件后仍可观察到随任务进程出现的表现变化：Go 漏按率由第一个 Block 的 0.029 上升至第三个 Block 的 0.048，反应时变异系数由 0.369 上升至 0.485；No-Go 误按率未呈现显著的 Block 主效应。事件级分析还显示，No-Go 误按发生前 1～2 个试次的正确 Go 反应明显加快。结果表明，在不设置不同任务条件的情况下，相同 B 条件已经能够呈现持续注意的时间动态。</w:t>
      </w:r>
    </w:p>
    <w:p w14:paraId="196C63DC">
      <w:pPr>
        <w:ind w:firstLine="420" w:firstLineChars="0"/>
        <w:rPr>
          <w:rFonts w:cs="Times New Roman"/>
          <w:lang w:eastAsia="zh"/>
        </w:rPr>
      </w:pPr>
      <w:r>
        <w:rPr>
          <w:rFonts w:cs="Times New Roman"/>
          <w:lang w:eastAsia="zh"/>
        </w:rPr>
        <w:t>三个连续长 Block 同时增加了持续任务负担，而第三个 Block 对早期与后期状态比较提供的新增信息相对有限。正式方案因此保留 432 试次的长 Block、11.1% 的 No-Go 比例、伪随机刺激序列和双问题思维探针，并将正式任务主体调整为 2 个相同的 B 条件 Block。</w:t>
      </w:r>
    </w:p>
    <w:p>
      <w:pPr>
        <w:jc w:val="center"/>
      </w:pPr>
      <w:r>
        <w:drawing>
          <wp:inline xmlns:a="http://schemas.openxmlformats.org/drawingml/2006/main" xmlns:pic="http://schemas.openxmlformats.org/drawingml/2006/picture">
            <wp:extent cx="4680000" cy="2239945"/>
            <wp:docPr id="1688596217" name="Picture 1688596217"/>
            <wp:cNvGraphicFramePr>
              <a:graphicFrameLocks noChangeAspect="1"/>
            </wp:cNvGraphicFramePr>
            <a:graphic>
              <a:graphicData uri="http://schemas.openxmlformats.org/drawingml/2006/picture">
                <pic:pic>
                  <pic:nvPicPr>
                    <pic:cNvPr id="0" name="orig_117.png"/>
                    <pic:cNvPicPr/>
                  </pic:nvPicPr>
                  <pic:blipFill>
                    <a:blip r:embed="rId40"/>
                    <a:stretch>
                      <a:fillRect/>
                    </a:stretch>
                  </pic:blipFill>
                  <pic:spPr>
                    <a:xfrm>
                      <a:off x="0" y="0"/>
                      <a:ext cx="4680000" cy="2239945"/>
                    </a:xfrm>
                    <a:prstGeom prst="rect"/>
                  </pic:spPr>
                </pic:pic>
              </a:graphicData>
            </a:graphic>
          </wp:inline>
        </w:drawing>
      </w:r>
    </w:p>
    <w:p>
      <w:pPr>
        <w:jc w:val="center"/>
      </w:pPr>
      <w:r>
        <w:rPr>
          <w:b/>
          <w:sz w:val="21"/>
        </w:rPr>
        <w:t>图 8 预实验第二阶段行为指标轨迹（占位编号）</w:t>
      </w:r>
    </w:p>
    <w:p>
      <w:pPr>
        <w:jc w:val="center"/>
      </w:pPr>
      <w:r>
        <w:rPr>
          <w:sz w:val="18"/>
        </w:rPr>
        <w:t>注：主队列 19 名被试在 3 个 B 条件 Block 中 8 项行为指标的组均值轨迹与 95% CI。</w:t>
      </w:r>
    </w:p>
    <w:p w14:paraId="6C61F79C">
      <w:pPr>
        <w:pStyle w:val="4"/>
        <w:rPr>
          <w:lang w:eastAsia="zh" w:bidi="ar"/>
        </w:rPr>
      </w:pPr>
      <w:r>
        <w:rPr>
          <w:rFonts w:hint="eastAsia"/>
          <w:lang w:eastAsia="zh" w:bidi="ar"/>
        </w:rPr>
        <w:t>4.4 正式实验程序与多模态采集</w:t>
      </w:r>
    </w:p>
    <w:p w14:paraId="183CBBBA">
      <w:pPr>
        <w:jc w:val="center"/>
      </w:pPr>
      <w:r>
        <w:drawing>
          <wp:inline distT="0" distB="0" distL="114300" distR="114300">
            <wp:extent cx="5039995" cy="6551930"/>
            <wp:effectExtent l="0" t="0" r="1270" b="635"/>
            <wp:docPr id="1688596214" name="Picture 1688596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4" name="Picture 1688596214"/>
                    <pic:cNvPicPr>
                      <a:picLocks noChangeAspect="1"/>
                    </pic:cNvPicPr>
                  </pic:nvPicPr>
                  <pic:blipFill>
                    <a:blip r:embed="rId20"/>
                    <a:stretch>
                      <a:fillRect/>
                    </a:stretch>
                  </pic:blipFill>
                  <pic:spPr>
                    <a:xfrm>
                      <a:off x="0" y="0"/>
                      <a:ext cx="5040000" cy="6552000"/>
                    </a:xfrm>
                    <a:prstGeom prst="rect">
                      <a:avLst/>
                    </a:prstGeom>
                  </pic:spPr>
                </pic:pic>
              </a:graphicData>
            </a:graphic>
          </wp:inline>
        </w:drawing>
      </w:r>
    </w:p>
    <w:p w14:paraId="5F03DDE3">
      <w:pPr>
        <w:jc w:val="center"/>
      </w:pPr>
      <w:r>
        <w:rPr>
          <w:rFonts w:ascii="Times New Roman" w:hAnsi="Times New Roman" w:eastAsia="宋体"/>
          <w:b/>
          <w:sz w:val="21"/>
        </w:rPr>
        <w:t>图 9 正式实验范式与时间轴</w:t>
      </w:r>
    </w:p>
    <w:p w14:paraId="63E6F9B8">
      <w:pPr>
        <w:jc w:val="center"/>
      </w:pPr>
      <w:r>
        <w:rPr>
          <w:rFonts w:ascii="Times New Roman" w:hAnsi="Times New Roman" w:eastAsia="宋体"/>
          <w:b w:val="0"/>
          <w:sz w:val="18"/>
        </w:rPr>
        <w:t>注：正式实验包含两个结构相同的 B 条件 Block；每个 Block 含 432 个试次（384 Go / 48 No-Go）与 10 次思维探针，探针后紧跟两问（Q1 注意内容、Q2 警觉程度）。单试次为刺激 250 ms + 掩蔽 900 ms。</w:t>
      </w:r>
    </w:p>
    <w:p w14:paraId="05650B05">
      <w:pPr>
        <w:ind w:firstLine="420" w:firstLineChars="0"/>
        <w:rPr>
          <w:lang w:eastAsia="zh" w:bidi="ar"/>
        </w:rPr>
      </w:pPr>
      <w:r>
        <w:rPr>
          <w:lang w:eastAsia="zh" w:bidi="ar"/>
        </w:rPr>
        <w:t xml:space="preserve">正式实验包含两个结构相同的 B 条件 Block。每个 Block 包含 432 个试次，其中 384 个为 Go、48 个为 No-Go，并插入 10 次两问式思维探针；完整任务共包含 864 个正式试次、96 个 No-Go 试次和 </w:t>
      </w:r>
      <w:r>
        <w:rPr>
          <w:rFonts w:hint="eastAsia"/>
          <w:lang w:eastAsia="zh" w:bidi="ar"/>
        </w:rPr>
        <w:t>10</w:t>
      </w:r>
      <w:r>
        <w:rPr>
          <w:lang w:eastAsia="zh" w:bidi="ar"/>
        </w:rPr>
        <w:t xml:space="preserve"> 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 No-Go 总数一致的同时限制局部序列规律。单个 Block 约持续 9 min，两个 Block 之间安排休息，完整实验约需 25～30 min。</w:t>
      </w:r>
    </w:p>
    <w:p w14:paraId="10646F4C">
      <w:pPr>
        <w:ind w:firstLine="420" w:firstLineChars="0"/>
        <w:rPr>
          <w:lang w:eastAsia="zh" w:bidi="ar"/>
        </w:rPr>
      </w:pPr>
      <w:r>
        <w:rPr>
          <w:rFonts w:hint="eastAsia"/>
          <w:lang w:eastAsia="zh" w:bidi="ar"/>
        </w:rPr>
        <w:t>实验开始时主试讲解实验要求和目的，被试需要全程尽量保持直坐、不动</w:t>
      </w:r>
      <w:commentRangeStart w:id="8"/>
      <w:r>
        <w:rPr>
          <w:rFonts w:hint="eastAsia"/>
          <w:lang w:eastAsia="zh" w:bidi="ar"/>
        </w:rPr>
        <w:t>（如图X）</w:t>
      </w:r>
      <w:commentRangeEnd w:id="8"/>
      <w:r>
        <w:rPr>
          <w:rStyle w:val="27"/>
        </w:rPr>
        <w:commentReference w:id="8"/>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min，以记录静息基线。随后依次完成任务说明、</w:t>
      </w:r>
      <w:r>
        <w:rPr>
          <w:rFonts w:hint="eastAsia"/>
          <w:lang w:eastAsia="zh" w:bidi="ar"/>
        </w:rPr>
        <w:t>18个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 Block。Block 间</w:t>
      </w:r>
      <w:r>
        <w:rPr>
          <w:rFonts w:hint="eastAsia"/>
          <w:lang w:eastAsia="zh" w:bidi="ar"/>
        </w:rPr>
        <w:t>2分钟</w:t>
      </w:r>
      <w:r>
        <w:rPr>
          <w:lang w:eastAsia="zh" w:bidi="ar"/>
        </w:rPr>
        <w:t>休息结束后重新确认近红外眼部画面，再进入第二个正式 Block。任务程序记录每次刺激呈现、按键、探针出现和作答的时间，并同步标记基线、练习、正式任务和休息阶段，使连续生理信号能够与单个试次及探针事件对齐。</w:t>
      </w:r>
    </w:p>
    <w:p w14:paraId="2F6283EE">
      <w:pPr>
        <w:keepNext/>
        <w:ind w:firstLine="0" w:firstLineChars="0"/>
        <w:jc w:val="center"/>
        <w:rPr>
          <w:rFonts w:hint="eastAsia"/>
        </w:rPr>
      </w:pPr>
      <w:r>
        <w:drawing>
          <wp:inline distT="0" distB="0" distL="0" distR="0">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1"/>
                    <a:stretch>
                      <a:fillRect/>
                    </a:stretch>
                  </pic:blipFill>
                  <pic:spPr>
                    <a:xfrm>
                      <a:off x="0" y="0"/>
                      <a:ext cx="5274310" cy="1978660"/>
                    </a:xfrm>
                    <a:prstGeom prst="rect">
                      <a:avLst/>
                    </a:prstGeom>
                  </pic:spPr>
                </pic:pic>
              </a:graphicData>
            </a:graphic>
          </wp:inline>
        </w:drawing>
      </w:r>
    </w:p>
    <w:p w14:paraId="5DAE60F5">
      <w:pPr>
        <w:pStyle w:val="11"/>
        <w:rPr>
          <w:lang w:eastAsia="zh-CN" w:bidi="ar"/>
        </w:rPr>
      </w:pPr>
      <w:r>
        <w:rPr>
          <w:rFonts w:hint="eastAsia"/>
          <w:lang w:eastAsia="zh-CN"/>
        </w:rPr>
        <w:t>图 10 设备示意图</w:t>
      </w:r>
    </w:p>
    <w:p w14:paraId="780E7E16">
      <w:pPr>
        <w:ind w:firstLine="420" w:firstLineChars="0"/>
        <w:rPr>
          <w:lang w:eastAsia="zh" w:bidi="ar"/>
        </w:rPr>
      </w:pPr>
      <w:r>
        <w:rPr>
          <w:lang w:eastAsia="zh" w:bidi="ar"/>
        </w:rPr>
        <w:t xml:space="preserve">三种传感通道从不同层面记录同一任务过程。近红外摄像头固定对准眼部，用于获得瞳孔和眼部区域的连续图像；RGB 摄像头覆盖头面部及上半身，用于记录可见身体运动、姿态和眼睑活动；毫米波雷达正对胸骨上段，用于记录胸部微动和较大尺度身体运动。实验期间保持照明、座位、显示设置和传感器相对位置一致。主要设备与采集参数见表 </w:t>
      </w:r>
      <w:commentRangeStart w:id="9"/>
      <w:r>
        <w:rPr>
          <w:rFonts w:hint="eastAsia"/>
          <w:lang w:eastAsia="zh" w:bidi="ar"/>
        </w:rPr>
        <w:t>1</w:t>
      </w:r>
      <w:commentRangeEnd w:id="9"/>
      <w:r>
        <w:rPr>
          <w:rStyle w:val="27"/>
        </w:rPr>
        <w:commentReference w:id="9"/>
      </w:r>
      <w:r>
        <w:rPr>
          <w:lang w:eastAsia="zh" w:bidi="ar"/>
        </w:rPr>
        <w:t>。各采集线程与任务程序</w:t>
      </w:r>
      <w:r>
        <w:rPr>
          <w:rFonts w:hint="eastAsia"/>
          <w:lang w:eastAsia="zh" w:bidi="ar"/>
        </w:rPr>
        <w:t>均使用</w:t>
      </w:r>
      <w:r>
        <w:rPr>
          <w:lang w:eastAsia="zh" w:bidi="ar"/>
        </w:rPr>
        <w:t xml:space="preserve"> Unix 时间戳</w:t>
      </w:r>
      <w:r>
        <w:rPr>
          <w:rFonts w:hint="eastAsia"/>
          <w:lang w:eastAsia="zh" w:bidi="ar"/>
        </w:rPr>
        <w:t>记录</w:t>
      </w:r>
      <w:r>
        <w:rPr>
          <w:lang w:eastAsia="zh" w:bidi="ar"/>
        </w:rPr>
        <w:t>，分析时以任务事件表为主时间轴，将各模态映射到统一的实验阶段和事件窗口。</w:t>
      </w:r>
    </w:p>
    <w:p w14:paraId="56AEAA14">
      <w:pPr>
        <w:pStyle w:val="11"/>
        <w:keepNext/>
        <w:rPr>
          <w:lang w:eastAsia="zh-CN"/>
        </w:rPr>
      </w:pPr>
      <w:r>
        <w:rPr>
          <w:rFonts w:hint="eastAsia"/>
          <w:lang w:eastAsia="zh-CN"/>
        </w:rPr>
        <w:t xml:space="preserve">表 </w:t>
      </w:r>
      <w:r>
        <w:fldChar w:fldCharType="begin"/>
      </w:r>
      <w:r>
        <w:rPr>
          <w:lang w:eastAsia="zh-CN"/>
        </w:rPr>
        <w:instrText xml:space="preserve"> </w:instrText>
      </w:r>
      <w:r>
        <w:rPr>
          <w:rFonts w:hint="eastAsia"/>
          <w:lang w:eastAsia="zh-CN"/>
        </w:rPr>
        <w:instrText xml:space="preserve">SEQ 表 \* ARABIC</w:instrText>
      </w:r>
      <w:r>
        <w:rPr>
          <w:lang w:eastAsia="zh-CN"/>
        </w:rPr>
        <w:instrText xml:space="preserve"> </w:instrText>
      </w:r>
      <w:r>
        <w:fldChar w:fldCharType="separate"/>
      </w:r>
      <w:r>
        <w:rPr>
          <w:lang w:eastAsia="zh-CN"/>
        </w:rPr>
        <w:t>2</w:t>
      </w:r>
      <w:r>
        <w:fldChar w:fldCharType="end"/>
      </w:r>
      <w:r>
        <w:rPr>
          <w:rFonts w:hint="eastAsia"/>
          <w:lang w:eastAsia="zh-CN"/>
        </w:rPr>
        <w:t xml:space="preserve"> 正式实验设备与采集参数</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25"/>
        <w:gridCol w:w="1548"/>
        <w:gridCol w:w="3861"/>
        <w:gridCol w:w="2072"/>
      </w:tblGrid>
      <w:tr w14:paraId="34BF15C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6A3E4B54">
            <w:pPr>
              <w:spacing w:line="240" w:lineRule="auto"/>
              <w:ind w:firstLine="0" w:firstLineChars="0"/>
              <w:jc w:val="center"/>
              <w:rPr>
                <w:b/>
                <w:bCs/>
                <w:sz w:val="18"/>
                <w:szCs w:val="18"/>
                <w:lang w:eastAsia="zh" w:bidi="ar"/>
              </w:rPr>
            </w:pPr>
            <w:r>
              <w:rPr>
                <w:b/>
                <w:bCs/>
                <w:sz w:val="18"/>
                <w:szCs w:val="18"/>
                <w:lang w:eastAsia="zh" w:bidi="ar"/>
              </w:rPr>
              <w:t>通道</w:t>
            </w:r>
          </w:p>
        </w:tc>
        <w:tc>
          <w:tcPr>
            <w:tcW w:w="0" w:type="auto"/>
            <w:tcBorders>
              <w:top w:val="single" w:color="auto" w:sz="12" w:space="0"/>
              <w:bottom w:val="single" w:color="auto" w:sz="6" w:space="0"/>
              <w:right w:val="nil"/>
              <w:insideV w:val="nil"/>
            </w:tcBorders>
            <w:vAlign w:val="center"/>
          </w:tcPr>
          <w:p w14:paraId="72DCC90D">
            <w:pPr>
              <w:spacing w:line="240" w:lineRule="auto"/>
              <w:ind w:firstLine="0" w:firstLineChars="0"/>
              <w:jc w:val="center"/>
              <w:rPr>
                <w:b/>
                <w:bCs/>
                <w:sz w:val="18"/>
                <w:szCs w:val="18"/>
                <w:lang w:eastAsia="zh" w:bidi="ar"/>
              </w:rPr>
            </w:pPr>
            <w:r>
              <w:rPr>
                <w:b/>
                <w:bCs/>
                <w:sz w:val="18"/>
                <w:szCs w:val="18"/>
                <w:lang w:eastAsia="zh" w:bidi="ar"/>
              </w:rPr>
              <w:t>设备</w:t>
            </w:r>
          </w:p>
        </w:tc>
        <w:tc>
          <w:tcPr>
            <w:tcW w:w="0" w:type="auto"/>
            <w:tcBorders>
              <w:top w:val="single" w:color="auto" w:sz="12" w:space="0"/>
              <w:bottom w:val="single" w:color="auto" w:sz="6" w:space="0"/>
              <w:right w:val="nil"/>
              <w:insideV w:val="nil"/>
            </w:tcBorders>
            <w:vAlign w:val="center"/>
          </w:tcPr>
          <w:p w14:paraId="1B19FB60">
            <w:pPr>
              <w:spacing w:line="240" w:lineRule="auto"/>
              <w:ind w:firstLine="0" w:firstLineChars="0"/>
              <w:jc w:val="center"/>
              <w:rPr>
                <w:b/>
                <w:bCs/>
                <w:sz w:val="18"/>
                <w:szCs w:val="18"/>
                <w:lang w:eastAsia="zh" w:bidi="ar"/>
              </w:rPr>
            </w:pPr>
            <w:r>
              <w:rPr>
                <w:b/>
                <w:bCs/>
                <w:sz w:val="18"/>
                <w:szCs w:val="18"/>
                <w:lang w:eastAsia="zh" w:bidi="ar"/>
              </w:rPr>
              <w:t>主要采集参数</w:t>
            </w:r>
          </w:p>
        </w:tc>
        <w:tc>
          <w:tcPr>
            <w:tcW w:w="0" w:type="auto"/>
            <w:tcBorders>
              <w:top w:val="single" w:color="auto" w:sz="12" w:space="0"/>
              <w:bottom w:val="single" w:color="auto" w:sz="6" w:space="0"/>
              <w:right w:val="nil"/>
              <w:insideV w:val="nil"/>
            </w:tcBorders>
            <w:vAlign w:val="center"/>
          </w:tcPr>
          <w:p w14:paraId="4ECD4AE5">
            <w:pPr>
              <w:spacing w:line="240" w:lineRule="auto"/>
              <w:ind w:firstLine="0" w:firstLineChars="0"/>
              <w:jc w:val="center"/>
              <w:rPr>
                <w:b/>
                <w:bCs/>
                <w:sz w:val="18"/>
                <w:szCs w:val="18"/>
                <w:lang w:eastAsia="zh" w:bidi="ar"/>
              </w:rPr>
            </w:pPr>
            <w:r>
              <w:rPr>
                <w:b/>
                <w:bCs/>
                <w:sz w:val="18"/>
                <w:szCs w:val="18"/>
                <w:lang w:eastAsia="zh" w:bidi="ar"/>
              </w:rPr>
              <w:t>位置与主要观测</w:t>
            </w:r>
          </w:p>
        </w:tc>
      </w:tr>
      <w:tr w14:paraId="79F979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21B40E73">
            <w:pPr>
              <w:spacing w:line="240" w:lineRule="auto"/>
              <w:ind w:firstLine="0" w:firstLineChars="0"/>
              <w:jc w:val="center"/>
              <w:rPr>
                <w:sz w:val="18"/>
                <w:szCs w:val="18"/>
                <w:lang w:eastAsia="zh" w:bidi="ar"/>
              </w:rPr>
            </w:pPr>
            <w:r>
              <w:rPr>
                <w:sz w:val="18"/>
                <w:szCs w:val="18"/>
                <w:lang w:eastAsia="zh" w:bidi="ar"/>
              </w:rPr>
              <w:t>近红外眼部视频</w:t>
            </w:r>
          </w:p>
        </w:tc>
        <w:tc>
          <w:tcPr>
            <w:tcW w:w="0" w:type="auto"/>
            <w:vAlign w:val="center"/>
          </w:tcPr>
          <w:p w14:paraId="139B155E">
            <w:pPr>
              <w:spacing w:line="240" w:lineRule="auto"/>
              <w:ind w:firstLine="0" w:firstLineChars="0"/>
              <w:jc w:val="center"/>
              <w:rPr>
                <w:sz w:val="18"/>
                <w:szCs w:val="18"/>
                <w:lang w:eastAsia="zh" w:bidi="ar"/>
              </w:rPr>
            </w:pPr>
            <w:r>
              <w:rPr>
                <w:sz w:val="18"/>
                <w:szCs w:val="18"/>
                <w:lang w:eastAsia="zh" w:bidi="ar"/>
              </w:rPr>
              <w:t>zwak ASSX-OV200W</w:t>
            </w:r>
          </w:p>
        </w:tc>
        <w:tc>
          <w:tcPr>
            <w:tcW w:w="0" w:type="auto"/>
            <w:vAlign w:val="center"/>
          </w:tcPr>
          <w:p w14:paraId="3F8F647B">
            <w:pPr>
              <w:spacing w:line="240" w:lineRule="auto"/>
              <w:ind w:firstLine="0" w:firstLineChars="0"/>
              <w:jc w:val="center"/>
              <w:rPr>
                <w:sz w:val="18"/>
                <w:szCs w:val="18"/>
                <w:lang w:eastAsia="zh" w:bidi="ar"/>
              </w:rPr>
            </w:pPr>
            <w:r>
              <w:rPr>
                <w:sz w:val="18"/>
                <w:szCs w:val="18"/>
                <w:lang w:eastAsia="zh" w:bidi="ar"/>
              </w:rPr>
              <w:t>1/2.7 英寸 CMOS；12 mm 定焦镜头；1920×1080；30 帧/s；MJPG；移除 IR-CUT，采用 940 nm 窄带成像并配合外置 940 nm 红外补光</w:t>
            </w:r>
          </w:p>
        </w:tc>
        <w:tc>
          <w:tcPr>
            <w:tcW w:w="0" w:type="auto"/>
            <w:vAlign w:val="center"/>
          </w:tcPr>
          <w:p w14:paraId="7B0E9866">
            <w:pPr>
              <w:spacing w:line="240" w:lineRule="auto"/>
              <w:ind w:firstLine="0" w:firstLineChars="0"/>
              <w:jc w:val="center"/>
              <w:rPr>
                <w:sz w:val="18"/>
                <w:szCs w:val="18"/>
                <w:lang w:eastAsia="zh" w:bidi="ar"/>
              </w:rPr>
            </w:pPr>
            <w:r>
              <w:rPr>
                <w:sz w:val="18"/>
                <w:szCs w:val="18"/>
                <w:lang w:eastAsia="zh" w:bidi="ar"/>
              </w:rPr>
              <w:t>固定对准眼部；连续记录瞳孔及眼部区域</w:t>
            </w:r>
          </w:p>
        </w:tc>
      </w:tr>
      <w:tr w14:paraId="2FC97A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2B5A02C">
            <w:pPr>
              <w:spacing w:line="240" w:lineRule="auto"/>
              <w:ind w:firstLine="0" w:firstLineChars="0"/>
              <w:jc w:val="center"/>
              <w:rPr>
                <w:sz w:val="18"/>
                <w:szCs w:val="18"/>
                <w:lang w:eastAsia="zh" w:bidi="ar"/>
              </w:rPr>
            </w:pPr>
            <w:r>
              <w:rPr>
                <w:sz w:val="18"/>
                <w:szCs w:val="18"/>
                <w:lang w:eastAsia="zh" w:bidi="ar"/>
              </w:rPr>
              <w:t>RGB 视频</w:t>
            </w:r>
          </w:p>
        </w:tc>
        <w:tc>
          <w:tcPr>
            <w:tcW w:w="0" w:type="auto"/>
            <w:vAlign w:val="center"/>
          </w:tcPr>
          <w:p w14:paraId="3CCE9F03">
            <w:pPr>
              <w:spacing w:line="240" w:lineRule="auto"/>
              <w:ind w:firstLine="0" w:firstLineChars="0"/>
              <w:jc w:val="center"/>
              <w:rPr>
                <w:sz w:val="18"/>
                <w:szCs w:val="18"/>
                <w:lang w:eastAsia="zh" w:bidi="ar"/>
              </w:rPr>
            </w:pPr>
            <w:r>
              <w:rPr>
                <w:sz w:val="18"/>
                <w:szCs w:val="18"/>
                <w:lang w:eastAsia="zh" w:bidi="ar"/>
              </w:rPr>
              <w:t>2K USB Camera</w:t>
            </w:r>
          </w:p>
        </w:tc>
        <w:tc>
          <w:tcPr>
            <w:tcW w:w="0" w:type="auto"/>
            <w:vAlign w:val="center"/>
          </w:tcPr>
          <w:p w14:paraId="5DB706A3">
            <w:pPr>
              <w:spacing w:line="240" w:lineRule="auto"/>
              <w:ind w:firstLine="0" w:firstLineChars="0"/>
              <w:jc w:val="center"/>
              <w:rPr>
                <w:sz w:val="18"/>
                <w:szCs w:val="18"/>
                <w:lang w:eastAsia="zh" w:bidi="ar"/>
              </w:rPr>
            </w:pPr>
            <w:r>
              <w:rPr>
                <w:sz w:val="18"/>
                <w:szCs w:val="18"/>
                <w:lang w:eastAsia="zh" w:bidi="ar"/>
              </w:rPr>
              <w:t>1280×720；30 帧/s；MJPG</w:t>
            </w:r>
          </w:p>
        </w:tc>
        <w:tc>
          <w:tcPr>
            <w:tcW w:w="0" w:type="auto"/>
            <w:vAlign w:val="center"/>
          </w:tcPr>
          <w:p w14:paraId="51867F2B">
            <w:pPr>
              <w:spacing w:line="240" w:lineRule="auto"/>
              <w:ind w:firstLine="0" w:firstLineChars="0"/>
              <w:jc w:val="center"/>
              <w:rPr>
                <w:sz w:val="18"/>
                <w:szCs w:val="18"/>
                <w:lang w:eastAsia="zh" w:bidi="ar"/>
              </w:rPr>
            </w:pPr>
            <w:r>
              <w:rPr>
                <w:sz w:val="18"/>
                <w:szCs w:val="18"/>
                <w:lang w:eastAsia="zh" w:bidi="ar"/>
              </w:rPr>
              <w:t>固定于显示屏上方，覆盖头面部及上半身；记录可见运动、姿态和眼睑活动</w:t>
            </w:r>
          </w:p>
        </w:tc>
      </w:tr>
      <w:tr w14:paraId="41472B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F65A21B">
            <w:pPr>
              <w:spacing w:line="240" w:lineRule="auto"/>
              <w:ind w:firstLine="0" w:firstLineChars="0"/>
              <w:jc w:val="center"/>
              <w:rPr>
                <w:sz w:val="18"/>
                <w:szCs w:val="18"/>
                <w:lang w:eastAsia="zh" w:bidi="ar"/>
              </w:rPr>
            </w:pPr>
            <w:r>
              <w:rPr>
                <w:sz w:val="18"/>
                <w:szCs w:val="18"/>
                <w:lang w:eastAsia="zh" w:bidi="ar"/>
              </w:rPr>
              <w:t>毫米波雷达</w:t>
            </w:r>
          </w:p>
        </w:tc>
        <w:tc>
          <w:tcPr>
            <w:tcW w:w="0" w:type="auto"/>
            <w:vAlign w:val="center"/>
          </w:tcPr>
          <w:p w14:paraId="5908C03F">
            <w:pPr>
              <w:spacing w:line="240" w:lineRule="auto"/>
              <w:ind w:firstLine="0" w:firstLineChars="0"/>
              <w:jc w:val="center"/>
              <w:rPr>
                <w:sz w:val="18"/>
                <w:szCs w:val="18"/>
                <w:lang w:eastAsia="zh" w:bidi="ar"/>
              </w:rPr>
            </w:pPr>
            <w:r>
              <w:rPr>
                <w:sz w:val="18"/>
                <w:szCs w:val="18"/>
                <w:lang w:eastAsia="zh" w:bidi="ar"/>
              </w:rPr>
              <w:t>POSSUMIC RS6240</w:t>
            </w:r>
          </w:p>
        </w:tc>
        <w:tc>
          <w:tcPr>
            <w:tcW w:w="0" w:type="auto"/>
            <w:vAlign w:val="center"/>
          </w:tcPr>
          <w:p w14:paraId="3FC413F1">
            <w:pPr>
              <w:spacing w:line="240" w:lineRule="auto"/>
              <w:ind w:firstLine="0" w:firstLineChars="0"/>
              <w:jc w:val="center"/>
              <w:rPr>
                <w:sz w:val="18"/>
                <w:szCs w:val="18"/>
                <w:lang w:eastAsia="zh" w:bidi="ar"/>
              </w:rPr>
            </w:pPr>
            <w:r>
              <w:rPr>
                <w:rFonts w:hint="eastAsia"/>
                <w:sz w:val="18"/>
                <w:szCs w:val="18"/>
                <w:lang w:eastAsia="zh" w:bidi="ar"/>
              </w:rPr>
              <w:t>66</w:t>
            </w:r>
            <w:r>
              <w:rPr>
                <w:sz w:val="18"/>
                <w:szCs w:val="18"/>
                <w:lang w:eastAsia="zh" w:bidi="ar"/>
              </w:rPr>
              <w:t xml:space="preserve"> GHz；2 发射×4 接收；实际采集约 99 Hz；8 个收发通道×256 个距离单元的复数 I/Q 信号</w:t>
            </w:r>
          </w:p>
        </w:tc>
        <w:tc>
          <w:tcPr>
            <w:tcW w:w="0" w:type="auto"/>
            <w:vAlign w:val="center"/>
          </w:tcPr>
          <w:p w14:paraId="603DE355">
            <w:pPr>
              <w:spacing w:line="240" w:lineRule="auto"/>
              <w:ind w:firstLine="0" w:firstLineChars="0"/>
              <w:jc w:val="center"/>
              <w:rPr>
                <w:sz w:val="18"/>
                <w:szCs w:val="18"/>
                <w:lang w:eastAsia="zh" w:bidi="ar"/>
              </w:rPr>
            </w:pPr>
            <w:r>
              <w:rPr>
                <w:sz w:val="18"/>
                <w:szCs w:val="18"/>
                <w:lang w:eastAsia="zh" w:bidi="ar"/>
              </w:rPr>
              <w:t>正对胸骨上段，距离约 0.3 m；记录胸部微动及身体运动</w:t>
            </w:r>
          </w:p>
        </w:tc>
      </w:tr>
    </w:tbl>
    <w:p w14:paraId="6A89721C">
      <w:pPr>
        <w:ind w:firstLine="0" w:firstLineChars="0"/>
        <w:rPr>
          <w:lang w:eastAsia="zh" w:bidi="ar"/>
        </w:rPr>
      </w:pPr>
    </w:p>
    <w:p w14:paraId="268ECE13">
      <w:pPr>
        <w:pStyle w:val="4"/>
        <w:rPr>
          <w:rFonts w:hAnsi="Times New Roman" w:cs="Times New Roman"/>
          <w:lang w:eastAsia="zh"/>
        </w:rPr>
      </w:pPr>
      <w:r>
        <w:rPr>
          <w:rFonts w:hint="eastAsia" w:hAnsi="Times New Roman" w:cs="Times New Roman"/>
          <w:lang w:eastAsia="zh"/>
        </w:rPr>
        <w:t>4.5 数据分析</w:t>
      </w:r>
    </w:p>
    <w:p w14:paraId="5BA25335">
      <w:pPr>
        <w:pStyle w:val="4"/>
      </w:pPr>
      <w:r>
        <w:t>4.5.1 行为与思维探针</w:t>
      </w:r>
    </w:p>
    <w:p w14:paraId="0271A0C3">
      <w:pPr>
        <w:ind w:firstLine="420"/>
        <w:jc w:val="both"/>
      </w:pPr>
      <w:r>
        <w:rPr>
          <w:rFonts w:ascii="Times New Roman" w:hAnsi="Times New Roman" w:eastAsia="宋体"/>
          <w:b w:val="0"/>
          <w:sz w:val="21"/>
        </w:rPr>
        <w:t>数据处理以任务事件时间为共同参照，在保留各模态原有时间分辨率的基础上，将行为、思维探针和连续传感记录整理为相应的统计指标。行为数据主要形成试次、错误事件、探针前窗口和 Block 内时间进程指标；NIR、毫米波和 RGB 连续记录则根据各自的测量特点评估数据质量并计算相应指标，再与相同的任务时间相对应。对随时间变化的连续指标，同时区分参与者之间的稳定差异与同一参与者内部的状态波动。</w:t>
      </w:r>
    </w:p>
    <w:p w14:paraId="2281A842">
      <w:pPr>
        <w:ind w:firstLine="420"/>
        <w:jc w:val="both"/>
      </w:pPr>
      <w:r>
        <w:rPr>
          <w:rFonts w:ascii="Times New Roman" w:hAnsi="Times New Roman" w:eastAsia="宋体"/>
          <w:b w:val="0"/>
          <w:sz w:val="21"/>
        </w:rPr>
        <w:t>思维探针主要对应探针出现前的近期行为状态。主要窗口为探针前 30 s，并以 10 s 和 20 s 窗口评价时间尺度敏感性；窗口止于探针出现前的最后一个完整试次。第一问的四类注意内容作为名义类别变量，第二问的四级警觉程度作为有序变量。各窗口汇总近期反应速度、反应稳定性、Go 遗漏、No-Go 误按及满足机会数要求时的信号检测论指标，用于检验主观状态与近期任务表现之间的关系。</w:t>
      </w:r>
    </w:p>
    <w:p w14:paraId="1ED8E3CF">
      <w:pPr>
        <w:ind w:firstLine="420"/>
        <w:jc w:val="both"/>
      </w:pPr>
      <w:r>
        <w:rPr>
          <w:rFonts w:ascii="Times New Roman" w:hAnsi="Times New Roman" w:eastAsia="宋体"/>
          <w:b w:val="0"/>
          <w:sz w:val="21"/>
        </w:rPr>
        <w:t>错误形成过程采用错误前反应轨迹分析。以 No-Go 试次为事件锚点，提取其前 8 个正确 Go 试次的反应时和变化趋势，比较随后正确抑制与发生误按的两类事件。较慢的任务时间变化则在每个 Block 内按顺序划分为 6 个连续时间段，从而把错误发生前的局部变化与 Block 内较长时间尺度的表现变化区分开来。B1 与 B2 的比较先在每个实验场次内形成配对差值，同一参与者的多个场次差值取参与者内平均后，以参与者为重抽样单位进行自助重采样（Efron &amp; Tibshirani, 1994），报告平均差、自助标准误与 95% 百分位置信区间。</w:t>
      </w:r>
    </w:p>
    <w:p w14:paraId="013C5E57">
      <w:pPr>
        <w:ind w:firstLine="420"/>
        <w:jc w:val="both"/>
      </w:pPr>
      <w:r>
        <w:rPr>
          <w:rFonts w:ascii="Times New Roman" w:hAnsi="Times New Roman" w:eastAsia="宋体"/>
          <w:b w:val="0"/>
          <w:sz w:val="21"/>
        </w:rPr>
        <w:t>Go 遗漏进一步依据按键时序特征区分为真遗漏和预判遗漏。前者指按键记录中未出现预设异常时序特征的 Go 遗漏，后者指与刺激前按键、跨试次按键延续或迟发反应等时序特征相伴的 Go 遗漏。相应的真遗漏率和预判遗漏率使用相同的 Go 试次分母，两者之和等于 Go 遗漏率。该分类用于描述遗漏发生时是否伴随异常按键时序，不直接对应特定心理状态。</w:t>
      </w:r>
    </w:p>
    <w:p>
      <w:pPr>
        <w:jc w:val="center"/>
      </w:pPr>
      <m:oMath>
        <m:sSup>
          <m:sSupPr>
            <m:ctrlPr>
              <w:rPr>
                <w:rFonts w:ascii="Cambria Math" w:hAnsi="Cambria Math"/>
                <w:i/>
                <w:lang w:eastAsia="zh" w:bidi="ar"/>
              </w:rPr>
            </m:ctrlPr>
          </m:sSupPr>
          <m:e>
            <m:r>
              <m:rPr/>
              <w:rPr>
                <w:rFonts w:ascii="Cambria Math" w:hAnsi="Cambria Math"/>
                <w:lang w:eastAsia="zh" w:bidi="ar"/>
              </w:rPr>
              <m:t>d</m:t>
            </m:r>
            <m:ctrlPr>
              <w:rPr>
                <w:rFonts w:ascii="Cambria Math" w:hAnsi="Cambria Math"/>
                <w:i/>
                <w:lang w:eastAsia="zh" w:bidi="ar"/>
              </w:rPr>
            </m:ctrlPr>
          </m:e>
          <m:sup>
            <m:r>
              <m:rPr/>
              <w:rPr>
                <w:rFonts w:ascii="Cambria Math" w:hAnsi="Cambria Math"/>
                <w:lang w:eastAsia="zh" w:bidi="ar"/>
              </w:rPr>
              <m:t>'</m:t>
            </m:r>
            <m:ctrlPr>
              <w:rPr>
                <w:rFonts w:ascii="Cambria Math" w:hAnsi="Cambria Math"/>
                <w:i/>
                <w:lang w:eastAsia="zh" w:bidi="ar"/>
              </w:rPr>
            </m:ctrlPr>
          </m:sup>
        </m:sSup>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HitRate</m:t>
            </m:r>
            <m:ctrlPr>
              <w:rPr>
                <w:rFonts w:ascii="Cambria Math" w:hAnsi="Cambria Math"/>
                <w:i/>
                <w:lang w:eastAsia="zh" w:bidi="ar"/>
              </w:rPr>
            </m:ctrlPr>
          </m:e>
        </m:d>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FalseAlarmRate</m:t>
            </m:r>
            <m:ctrlPr>
              <w:rPr>
                <w:rFonts w:ascii="Cambria Math" w:hAnsi="Cambria Math"/>
                <w:i/>
                <w:lang w:eastAsia="zh" w:bidi="ar"/>
              </w:rPr>
            </m:ctrlPr>
          </m:e>
        </m:d>
      </m:oMath>
    </w:p>
    <w:p w14:paraId="01611844">
      <w:pPr>
        <w:ind w:firstLine="420"/>
        <w:jc w:val="both"/>
      </w:pPr>
      <w:r>
        <w:rPr>
          <w:rFonts w:ascii="Times New Roman" w:hAnsi="Times New Roman" w:eastAsia="宋体"/>
          <w:b w:val="0"/>
          <w:sz w:val="21"/>
        </w:rPr>
        <w:t>信号检测论指标用于综合描述反应辨别能力与反应倾向。Go 正确反应作为命中，No-Go 误按作为虚报；当一个分析时间段至少包含 4 个 Go 和 2 个 No-Go 机会时，采用对数线性校正估计辨别力 d′、反应标准 c 和 β（Macmillan &amp; Creelman, 2005）。上述指标与反应速度、反应变异、Go 遗漏和 No-Go 误按分别保留，以避免把不同认知与反应过程压缩为单一正确率。</w:t>
      </w:r>
    </w:p>
    <w:p w14:paraId="09DC49D1">
      <w:pPr>
        <w:ind w:firstLine="420"/>
        <w:jc w:val="both"/>
      </w:pPr>
      <w:r>
        <w:rPr>
          <w:rFonts w:ascii="Times New Roman" w:hAnsi="Times New Roman" w:eastAsia="宋体"/>
          <w:b w:val="0"/>
          <w:sz w:val="21"/>
        </w:rPr>
        <w:t>正确 Go 试次的反应时用于描述反应速度。低于 100 ms 的按键作为提前反应单独记录；有效正确 Go 反应以中位数表示典型反应速度，并同时保留均值。反应稳定性采用标准差、四分位距、中位数绝对偏差和反应时变异系数描述，其中变异系数为反应时标准差与均值之比，时间窗口至少包含 20 个有效正确 Go 反应时才计算该指标。窗口内采用 Theil–Sen 稳健斜率描述反应速度随时间的变化方向（Theil, 1950; Sen, 1968）。</w:t>
      </w:r>
    </w:p>
    <w:p>
      <w:pPr>
        <w:jc w:val="center"/>
      </w:pPr>
      <m:oMath>
        <m:r>
          <m:rPr/>
          <w:rPr>
            <w:rFonts w:ascii="Cambria Math" w:hAnsi="Cambria Math"/>
            <w:lang w:eastAsia="zh" w:bidi="ar"/>
          </w:rPr>
          <m:t>RT−CV=SD</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oMath>
    </w:p>
    <w:p w14:paraId="1213B2CD">
      <w:pPr>
        <w:ind w:firstLine="420"/>
        <w:jc w:val="both"/>
      </w:pPr>
      <w:r>
        <w:rPr>
          <w:rFonts w:ascii="Times New Roman" w:hAnsi="Times New Roman" w:eastAsia="宋体"/>
          <w:b w:val="0"/>
          <w:sz w:val="21"/>
        </w:rPr>
        <w:t>SART 行为指标分别描述反应执行、抑制控制、反应速度和反应稳定性。依据刺激类型和按键结果，每个试次分为 Go 正确反应、Go 遗漏、No-Go 正确抑制和 No-Go 误按。Go 遗漏率以 Go 试次总数为分母，No-Go 误按率以 No-Go 试次总数为分母，两类错误分别分析。</w:t>
      </w:r>
    </w:p>
    <w:p w14:paraId="321B1309">
      <w:pPr>
        <w:pStyle w:val="4"/>
      </w:pPr>
      <w:r>
        <w:t>4.5.2 近红外瞳孔测量</w:t>
      </w:r>
    </w:p>
    <w:p w14:paraId="01B9A0AB">
      <w:pPr>
        <w:ind w:firstLine="420"/>
        <w:jc w:val="both"/>
      </w:pPr>
      <w:r>
        <w:rPr>
          <w:rFonts w:ascii="Times New Roman" w:hAnsi="Times New Roman" w:eastAsia="宋体"/>
          <w:b w:val="0"/>
          <w:sz w:val="21"/>
        </w:rPr>
        <w:t>连续瞳孔序列在短时间窗内汇总中位数、离散程度、变化斜率和相邻变化幅度，并形成 Block 内任务进程、行为事件附近和探针前窗口的指标。为控制屏幕刺激引起的瞳孔光反射差异，按照实际呈现规则重建 9 类水果与 3 种尺寸形成的 27 种视觉条件，计算数字相对亮度、RMS 对比度和刺激可见面积。刺激后分析同时考虑当前及前一试次的视觉属性；刺激前窗口仅使用严格发生在此前的视觉信息。这里的亮度指标表示屏幕图像之间的数字相对差异，与光度计测得的物理照度属于不同测量量。</w:t>
      </w:r>
    </w:p>
    <w:p w14:paraId="36246EF7">
      <w:pPr>
        <w:ind w:firstLine="420"/>
        <w:jc w:val="both"/>
      </w:pPr>
      <w:r>
        <w:rPr>
          <w:rFonts w:ascii="Times New Roman" w:hAnsi="Times New Roman" w:eastAsia="宋体"/>
          <w:b w:val="0"/>
          <w:sz w:val="21"/>
        </w:rPr>
        <w:t>瞳孔数据质量综合眼部可见性、瞳孔分割与几何拟合稳定性、有效图像区域、分割不确定性以及连续帧的时间与几何连续性进行评价，左右眼分别保留测量结果。任务过程中的瞳孔变化以该次实验中较稳定的瞳孔水平作为个体内参照；事件相关变化以事件发生前的短时瞳孔水平作为局部参照。任务开始前 3 min 静息阶段仅在眼部具有足够稳定的可用数据时用于探索性比较。</w:t>
      </w:r>
    </w:p>
    <w:p w14:paraId="11D3C521">
      <w:pPr>
        <w:ind w:firstLine="420"/>
        <w:jc w:val="both"/>
      </w:pPr>
      <w:r>
        <w:rPr>
          <w:rFonts w:ascii="Times New Roman" w:hAnsi="Times New Roman" w:eastAsia="宋体"/>
          <w:b w:val="0"/>
          <w:sz w:val="21"/>
        </w:rPr>
        <w:t>近红外视频首先使用项目训练的 YOLO26n 检测器定位眼部区域（Redmon et al., 2016），再采用 RITnet 四分类语义分割模型识别背景、巩膜、虹膜和瞳孔（Chaudhary et al., 2020）。瞳孔几何通过拓扑约束确定主要眼球区域及与其相连的瞳孔成分，并仅对瞳孔成分进行椭圆拟合。由此获得瞳孔等效直径、几何平均直径、椭圆长短轴、轮廓面积和椭圆面积等直接几何指标，同时保留瞳孔像素比例作为补充描述。虹膜分割用于辅助空间定位和分割质量评价，不作为瞳孔大小的归一化参照。网络训练、眼部区域重建和模型输入尺寸等实现参数列于附录 A。</w:t>
      </w:r>
    </w:p>
    <w:p>
      <w:pPr>
        <w:jc w:val="center"/>
      </w:pPr>
      <w:r>
        <w:drawing>
          <wp:inline xmlns:a="http://schemas.openxmlformats.org/drawingml/2006/main" xmlns:pic="http://schemas.openxmlformats.org/drawingml/2006/picture">
            <wp:extent cx="4320000" cy="1676160"/>
            <wp:docPr id="1688596218" name="Picture 1688596218"/>
            <wp:cNvGraphicFramePr>
              <a:graphicFrameLocks noChangeAspect="1"/>
            </wp:cNvGraphicFramePr>
            <a:graphic>
              <a:graphicData uri="http://schemas.openxmlformats.org/drawingml/2006/picture">
                <pic:pic>
                  <pic:nvPicPr>
                    <pic:cNvPr id="0" name="orig_132.png"/>
                    <pic:cNvPicPr/>
                  </pic:nvPicPr>
                  <pic:blipFill>
                    <a:blip r:embed="rId41"/>
                    <a:stretch>
                      <a:fillRect/>
                    </a:stretch>
                  </pic:blipFill>
                  <pic:spPr>
                    <a:xfrm>
                      <a:off x="0" y="0"/>
                      <a:ext cx="4320000" cy="1676160"/>
                    </a:xfrm>
                    <a:prstGeom prst="rect"/>
                  </pic:spPr>
                </pic:pic>
              </a:graphicData>
            </a:graphic>
          </wp:inline>
        </w:drawing>
      </w:r>
    </w:p>
    <w:p>
      <w:pPr>
        <w:jc w:val="center"/>
      </w:pPr>
      <w:r>
        <w:rPr>
          <w:b/>
          <w:sz w:val="21"/>
        </w:rPr>
        <w:t>图 11 正确 Go 反应时分布（占位编号）</w:t>
      </w:r>
    </w:p>
    <w:p>
      <w:pPr>
        <w:jc w:val="center"/>
      </w:pPr>
      <w:r>
        <w:rPr>
          <w:sz w:val="18"/>
        </w:rPr>
        <w:t>注：直方图与经验累积分布；QC 阈值位置仅标注、未删除数据。</w:t>
      </w:r>
    </w:p>
    <w:p w14:paraId="6512E902">
      <w:pPr>
        <w:pStyle w:val="4"/>
      </w:pPr>
      <w:r>
        <w:t>4.5.3 RGB 可见行为测量</w:t>
      </w:r>
    </w:p>
    <w:p w14:paraId="6C0FF206">
      <w:pPr>
        <w:ind w:firstLine="420"/>
        <w:jc w:val="both"/>
      </w:pPr>
      <w:r>
        <w:rPr>
          <w:rFonts w:ascii="Times New Roman" w:hAnsi="Times New Roman" w:eastAsia="宋体"/>
          <w:b w:val="0"/>
          <w:sz w:val="21"/>
        </w:rPr>
        <w:t>RGB 运动、姿态和眨眼候选按 Block 时间进程和探针前窗口汇总。整体运动用于描述外显体动，并与毫米波身体运动指标相互参照；姿态方向用于辅助解释运动来源，眨眼候选与运动指标分别分析。</w:t>
      </w:r>
    </w:p>
    <w:p w14:paraId="5B261BC6">
      <w:pPr>
        <w:ind w:firstLine="420"/>
        <w:jc w:val="both"/>
      </w:pPr>
      <w:r>
        <w:rPr>
          <w:rFonts w:ascii="Times New Roman" w:hAnsi="Times New Roman" w:eastAsia="宋体"/>
          <w:b w:val="0"/>
          <w:sz w:val="21"/>
        </w:rPr>
        <w:t>眼睑活动采用基于面部网格（MediaPipe；Lugaresi et al., 2019）的眼睛纵横比（eye aspect ratio, EAR）描述（Soukupová &amp; Čech, 2016），左右眼分别计算，并以各自可观测时段中的较高开放水平作为相对参照。双眼均具有足够可用数据且变化基本一致时识别眨眼候选事件，候选闭眼阶段的持续时间限定为 50～1000 ms。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1B39AFBD">
      <w:pPr>
        <w:ind w:firstLine="420"/>
        <w:jc w:val="both"/>
      </w:pPr>
      <w:r>
        <w:rPr>
          <w:rFonts w:ascii="Times New Roman" w:hAnsi="Times New Roman" w:eastAsia="宋体"/>
          <w:b w:val="0"/>
          <w:sz w:val="21"/>
        </w:rPr>
        <w:t>RGB 视频分析聚焦于整体运动、画面亮度变化、姿态辅助信息和眨眼候选事件。整体运动采用相邻帧图像变化形成的运动能量（motion energy）描述，并单独计算画面平均灰度变化，以区分身体运动与曝光或整体亮度变化。基于人体姿态关键点模型（BlazePose；Bazarevsky et al., 2020）提取的姿态关键点用于描述左右和上下方向的可见运动；前后方向则综合深度方向姿态、肩宽变化和人体在画面中的面积变化，判断明显的前后移动趋势。该指标只反映图像中的方向变化，不视为真实物理位移。</w:t>
      </w:r>
    </w:p>
    <w:p>
      <w:pPr>
        <w:jc w:val="center"/>
      </w:pPr>
      <m:oMath>
        <m:r>
          <m:rPr/>
          <w:rPr>
            <w:rFonts w:ascii="Cambria Math" w:hAnsi="Cambria Math"/>
            <w:lang w:eastAsia="zh" w:bidi="ar"/>
          </w:rPr>
          <m:t>Y=0.2126R+0.7152G+0.0722B</m:t>
        </m:r>
      </m:oMath>
    </w:p>
    <w:p w14:paraId="057EC486">
      <w:pPr>
        <w:pStyle w:val="4"/>
      </w:pPr>
      <w:r>
        <w:t>4.5.4 毫米波心肺相关活动与身体微动</w:t>
      </w:r>
    </w:p>
    <w:p>
      <w:pPr>
        <w:jc w:val="center"/>
      </w:pPr>
      <w:r>
        <w:drawing>
          <wp:inline xmlns:a="http://schemas.openxmlformats.org/drawingml/2006/main" xmlns:pic="http://schemas.openxmlformats.org/drawingml/2006/picture">
            <wp:extent cx="5220000" cy="3264969"/>
            <wp:docPr id="1688596219" name="Picture 1688596219"/>
            <wp:cNvGraphicFramePr>
              <a:graphicFrameLocks noChangeAspect="1"/>
            </wp:cNvGraphicFramePr>
            <a:graphic>
              <a:graphicData uri="http://schemas.openxmlformats.org/drawingml/2006/picture">
                <pic:pic>
                  <pic:nvPicPr>
                    <pic:cNvPr id="0" name="毫米波管线图_v1.png"/>
                    <pic:cNvPicPr/>
                  </pic:nvPicPr>
                  <pic:blipFill>
                    <a:blip r:embed="rId42"/>
                    <a:stretch>
                      <a:fillRect/>
                    </a:stretch>
                  </pic:blipFill>
                  <pic:spPr>
                    <a:xfrm>
                      <a:off x="0" y="0"/>
                      <a:ext cx="5220000" cy="3264969"/>
                    </a:xfrm>
                    <a:prstGeom prst="rect"/>
                  </pic:spPr>
                </pic:pic>
              </a:graphicData>
            </a:graphic>
          </wp:inline>
        </w:drawing>
      </w:r>
    </w:p>
    <w:p>
      <w:pPr>
        <w:jc w:val="center"/>
      </w:pPr>
      <w:r>
        <w:rPr>
          <w:rFonts w:ascii="Times New Roman" w:hAnsi="Times New Roman" w:eastAsia="宋体"/>
          <w:b/>
          <w:sz w:val="21"/>
        </w:rPr>
        <w:t>图 11 毫米波心率与呼吸估计处理管线</w:t>
      </w:r>
    </w:p>
    <w:p>
      <w:pPr>
        <w:jc w:val="center"/>
      </w:pPr>
      <w:r>
        <w:rPr>
          <w:rFonts w:ascii="Times New Roman" w:hAnsi="Times New Roman" w:eastAsia="宋体"/>
          <w:b w:val="0"/>
          <w:sz w:val="18"/>
        </w:rPr>
        <w:t>注：距离域复数信号在上游完成 Range FFT；时频融合用于纠正呼吸谐波引起的半频锁定；逐搏间期与心率变异性指标不进入正式分析。</w:t>
      </w:r>
    </w:p>
    <w:p w14:paraId="69D6B165">
      <w:pPr>
        <w:ind w:firstLine="420"/>
        <w:jc w:val="both"/>
      </w:pPr>
      <w:r>
        <w:rPr>
          <w:rFonts w:ascii="Times New Roman" w:hAnsi="Times New Roman" w:eastAsia="宋体"/>
          <w:b w:val="0"/>
          <w:sz w:val="21"/>
        </w:rPr>
        <w:t>身体运动既是任务中的外显行为信息，也会影响微弱心肺相关信号的估计。毫米波分析因此比较原始分析结果、排除明显高体动时间段后的结果，以及将 RGB 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DDCF133">
      <w:pPr>
        <w:ind w:firstLine="420"/>
        <w:jc w:val="both"/>
      </w:pPr>
      <w:r>
        <w:rPr>
          <w:rFonts w:ascii="Times New Roman" w:hAnsi="Times New Roman" w:eastAsia="宋体"/>
          <w:b w:val="0"/>
          <w:sz w:val="21"/>
        </w:rPr>
        <w:t>逐帧毫米波数据按照采集过程中记录的实际时间与任务事件对应；预实验阶段以 ECG 双机同步采集核验了两路时间标记的对齐（残差小于 1.2 ms）。连续分析窗口完全位于单个 Block 内，避开休息、坐姿调整和 Block 边界，并依据真实帧时间确定窗口内的数据范围。心肺相关估计在信号质量满足分析要求的时间窗中汇总，再与 Block 时间进程、行为事件和探针前状态对应。</w:t>
      </w:r>
    </w:p>
    <w:p w14:paraId="4CE48FF5">
      <w:pPr>
        <w:ind w:firstLine="420"/>
        <w:jc w:val="both"/>
      </w:pPr>
      <w:r>
        <w:rPr>
          <w:rFonts w:ascii="Times New Roman" w:hAnsi="Times New Roman" w:eastAsia="宋体"/>
          <w:b w:val="0"/>
          <w:sz w:val="21"/>
        </w:rPr>
        <w:t>呼吸和心搏相关变化采用不同频段处理。呼吸相关成分主要分析 0.10～0.50 Hz，心搏相关成分主要分析 0.8～2.0 Hz；心搏相关分析在带通滤波基础上结合变分模态分解（variational mode decomposition, VMD）获得补充的窄带信号（Dragomiretskiy &amp; Zosso, 2014）。呼吸频率和心率估计综合时域峰间隔、频域峰值及两者的一致性，同时记录谱峰集中程度、相位连续性、运动幅度和反射位置稳定性等信号质量信息。呼吸、心搏相关变化和身体运动作为不同指标分别分析。滤波阶数、VMD 参数和内部搜索窗口等实现细节列于附录 A。</w:t>
      </w:r>
    </w:p>
    <w:p w14:paraId="1C5EB106">
      <w:pPr>
        <w:ind w:firstLine="420"/>
        <w:jc w:val="both"/>
      </w:pPr>
      <w:r>
        <w:rPr>
          <w:rFonts w:ascii="Times New Roman" w:hAnsi="Times New Roman" w:eastAsia="宋体"/>
          <w:b w:val="0"/>
          <w:sz w:val="21"/>
        </w:rPr>
        <w:t>毫米波采集结果已经表示为距离域复数信号，由 2 发射×4 接收形成 8 个通道，每个通道包含 256 个距离单元，距离轴按 0.037 m/距离单元解释。分析在人体所在距离范围内综合信号能量、相位变化和时间稳定性确定用于微动分析的反射位置与通道，再提取并展开复数相位，以获得胸壁方向上的相对微动序列。</w:t>
      </w:r>
    </w:p>
    <w:p w14:paraId="1FD3B9A0">
      <w:pPr>
        <w:pStyle w:val="4"/>
      </w:pPr>
      <w:r>
        <w:t>4.5.5 跨模态对齐与统计推断</w:t>
      </w:r>
    </w:p>
    <w:p w14:paraId="6DE8827A">
      <w:pPr>
        <w:ind w:firstLine="420"/>
        <w:jc w:val="both"/>
      </w:pPr>
      <w:r>
        <w:rPr>
          <w:rFonts w:ascii="Times New Roman" w:hAnsi="Times New Roman" w:eastAsia="宋体"/>
          <w:b w:val="0"/>
          <w:sz w:val="21"/>
        </w:rPr>
        <w:t>更复杂的多模态模型作为补充预测分析。在简单特征级融合形成稳定基准后，可进一步比较小型多层感知机以及根据各模态数据质量调整权重的融合模型。只有当复杂模型在相同的参与者独立验证中表现出稳定的额外预测收益时，</w:t>
      </w:r>
      <w:r>
        <w:rPr>
          <w:rFonts w:hint="eastAsia"/>
          <w:b w:val="0"/>
          <w:sz w:val="21"/>
          <w:lang w:eastAsia="zh-CN"/>
        </w:rPr>
        <w:t>才能</w:t>
      </w:r>
      <w:r>
        <w:rPr>
          <w:rFonts w:ascii="Times New Roman" w:hAnsi="Times New Roman" w:eastAsia="宋体"/>
          <w:b w:val="0"/>
          <w:sz w:val="21"/>
        </w:rPr>
        <w:t>作为主要预测结果解释。</w:t>
      </w:r>
    </w:p>
    <w:p w14:paraId="0F87C197">
      <w:pPr>
        <w:ind w:firstLine="420"/>
        <w:jc w:val="both"/>
      </w:pPr>
      <w:r>
        <w:rPr>
          <w:rFonts w:ascii="Times New Roman" w:hAnsi="Times New Roman" w:eastAsia="宋体"/>
          <w:b w:val="0"/>
          <w:sz w:val="21"/>
        </w:rPr>
        <w:t>在八种模态组合的基础上，进一步比较每种传感模态在已有信息基础上带来的性能变化，并考察两种模态同时加入时的联合增益，以判断不同模态提供的信息主要是互补还是重复。由于共有毫米波、NIR 和 RGB 三种传感模态，还可计算各模态在不同加入顺序下的平均边际贡献，用于概括其预测信息贡献；这一指标不作因果解释。</w:t>
      </w:r>
    </w:p>
    <w:p w14:paraId="3C0DB68B">
      <w:pPr>
        <w:ind w:firstLine="420"/>
        <w:jc w:val="both"/>
      </w:pPr>
      <w:r>
        <w:rPr>
          <w:rFonts w:ascii="Times New Roman" w:hAnsi="Times New Roman" w:eastAsia="宋体"/>
          <w:b w:val="0"/>
          <w:sz w:val="21"/>
        </w:rPr>
        <w:t>参与者独立验证采用留一参与者交叉验证（leave-one-subject-out cross-validation, LOSO）：每次将一名参与者的全部实验和探针观测作为测试数据，其余参与者用于训练。标准化、缺失值处理、特征筛选和参数选择均只使用训练数据完成。主要比较采用规则化逻辑回归，并以 Random Forest 作为非线性补充分析。分类性能主要报告受试者工作特征曲线下面积、平衡准确率、宏平均 F1 以及 Brier 分数或对数损失，并比较同一测试参与者条件下各模型的性能差异及其不确定性。</w:t>
      </w:r>
    </w:p>
    <w:p w14:paraId="243F2B9F">
      <w:pPr>
        <w:ind w:firstLine="420"/>
        <w:jc w:val="both"/>
      </w:pPr>
      <w:r>
        <w:rPr>
          <w:rFonts w:ascii="Times New Roman" w:hAnsi="Times New Roman" w:eastAsia="宋体"/>
          <w:b w:val="0"/>
          <w:sz w:val="21"/>
        </w:rPr>
        <w:t>多模态分析以探针前的共同时间窗为基础，只在相同参与者和相同探针观测上比较不同模型。首先以任务进程和近期行为构成基准，再分别加入毫米波、NIR 和 RGB 特征，比较基准模型、三个单模态组合、三个双模态组合和完整三模态组合共八种模型。</w:t>
      </w:r>
    </w:p>
    <w:p w14:paraId="04373E83">
      <w:pPr>
        <w:ind w:firstLine="420"/>
        <w:jc w:val="both"/>
      </w:pPr>
      <w:r>
        <w:rPr>
          <w:rFonts w:ascii="Times New Roman" w:hAnsi="Times New Roman" w:eastAsia="宋体"/>
          <w:b w:val="0"/>
          <w:sz w:val="21"/>
        </w:rP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RGB 模型将曝光变化与身体运动分开。各模态的数据质量指标用于描述测量条件，并通过敏感性分析检验主要效应是否稳定。</w:t>
      </w:r>
    </w:p>
    <w:p w14:paraId="73C91337">
      <w:pPr>
        <w:ind w:firstLine="420"/>
        <w:jc w:val="both"/>
      </w:pPr>
      <w:r>
        <w:rPr>
          <w:rFonts w:ascii="Times New Roman" w:hAnsi="Times New Roman" w:eastAsia="宋体"/>
          <w:b w:val="0"/>
          <w:sz w:val="21"/>
        </w:rPr>
        <w:t>统计模型考虑同一参与者多次实验以及同一次实验内重复测量之间的相关性。试次级 Go 遗漏和 No-Go 误按等二元结局采用广义线性混合效应模型，正确 Go 反应时以及 NIR、RGB 和毫米波连续指标采用线性混合效应模型。Block 内 6 个连续时间段的变化采用广义估计方程（generalized estimating equations, GEE）分析 Block、时间及其交互作用（Liang &amp; Zeger, 1986）。第一问思维探针按四类别名义变量分析，第二问按四级有序变量分析；同一类预先设定指标中的多重比较采用 Holm 方法调整。</w:t>
      </w:r>
    </w:p>
    <w:p w14:paraId="19C611A9">
      <w:pPr>
        <w:ind w:firstLine="420"/>
        <w:jc w:val="both"/>
      </w:pPr>
      <w:r>
        <w:rPr>
          <w:rFonts w:ascii="Times New Roman" w:hAnsi="Times New Roman" w:eastAsia="宋体"/>
          <w:b w:val="0"/>
          <w:sz w:val="21"/>
        </w:rPr>
        <w:t>行为、NIR、毫米波和 RGB 依据同一任务时间进行对应。Block 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5EEA5EA7">
      <w:pPr>
        <w:pStyle w:val="3"/>
        <w:rPr>
          <w:rFonts w:hint="eastAsia" w:ascii="宋体" w:hAnsi="宋体" w:cs="宋体"/>
          <w:bCs/>
          <w:lang w:eastAsia="zh-CN"/>
        </w:rPr>
      </w:pPr>
      <w:r>
        <w:rPr>
          <w:rFonts w:hint="eastAsia"/>
          <w:lang w:eastAsia="zh-CN"/>
        </w:rPr>
        <w:t xml:space="preserve">5 </w:t>
      </w:r>
      <w:r>
        <w:rPr>
          <w:rFonts w:hint="eastAsia" w:ascii="宋体" w:hAnsi="宋体" w:cs="宋体"/>
          <w:bCs/>
          <w:lang w:eastAsia="zh-CN"/>
        </w:rPr>
        <w:t>结果</w:t>
      </w:r>
    </w:p>
    <w:p w14:paraId="054B0354">
      <w:pPr>
        <w:pStyle w:val="5"/>
        <w:rPr>
          <w:rFonts w:hint="eastAsia"/>
          <w:bCs/>
        </w:rPr>
      </w:pPr>
      <w:r>
        <w:rPr>
          <w:rFonts w:hint="eastAsia"/>
        </w:rPr>
        <w:t xml:space="preserve">5.1 </w:t>
      </w:r>
      <w:r>
        <w:rPr>
          <w:bCs/>
        </w:rPr>
        <w:t>分析样本与数据可用性</w:t>
      </w:r>
    </w:p>
    <w:p w14:paraId="377DC729">
      <w:pPr>
        <w:ind w:firstLine="420"/>
        <w:rPr>
          <w:rFonts w:hint="eastAsia"/>
        </w:rPr>
      </w:pPr>
      <w:r>
        <w:t xml:space="preserve">正式实验共纳入 61 名参与者的 116 个实验场次。行为数据覆盖全部 116 个场次；RGB、毫米波和近红外当前可用场次数分别为 115、110 和 110。各模态数据可用情况见表 </w:t>
      </w:r>
      <w:r>
        <w:rPr>
          <w:highlight w:val="yellow"/>
        </w:rPr>
        <w:t>5-1</w:t>
      </w:r>
      <w:r>
        <w:t>。重复实验记录在推断分析中按参与者聚类处理。后续各分析根据实际进入模型的数据报告参与者数、实验场次数以及试次、时间窗或探针数量</w:t>
      </w:r>
      <w:r>
        <w:rPr>
          <w:rFonts w:hint="eastAsia"/>
        </w:rPr>
        <w:t>。</w:t>
      </w:r>
    </w:p>
    <w:p w14:paraId="37676496">
      <w:pPr>
        <w:pStyle w:val="11"/>
        <w:keepNext/>
        <w:rPr>
          <w:lang w:eastAsia="zh-CN"/>
        </w:rPr>
      </w:pPr>
      <w:r>
        <w:rPr>
          <w:rFonts w:hint="eastAsia"/>
          <w:lang w:eastAsia="zh-CN"/>
        </w:rPr>
        <w:t xml:space="preserve">表 </w:t>
      </w:r>
      <w:r>
        <w:fldChar w:fldCharType="begin"/>
      </w:r>
      <w:r>
        <w:rPr>
          <w:lang w:eastAsia="zh-CN"/>
        </w:rPr>
        <w:instrText xml:space="preserve"> </w:instrText>
      </w:r>
      <w:r>
        <w:rPr>
          <w:rFonts w:hint="eastAsia"/>
          <w:lang w:eastAsia="zh-CN"/>
        </w:rPr>
        <w:instrText xml:space="preserve">SEQ 表 \* ARABIC</w:instrText>
      </w:r>
      <w:r>
        <w:rPr>
          <w:lang w:eastAsia="zh-CN"/>
        </w:rPr>
        <w:instrText xml:space="preserve"> </w:instrText>
      </w:r>
      <w:r>
        <w:fldChar w:fldCharType="separate"/>
      </w:r>
      <w:r>
        <w:rPr>
          <w:lang w:eastAsia="zh-CN"/>
        </w:rPr>
        <w:t>3</w:t>
      </w:r>
      <w:r>
        <w:fldChar w:fldCharType="end"/>
      </w:r>
      <w:r>
        <w:rPr>
          <w:rFonts w:hint="eastAsia"/>
          <w:lang w:eastAsia="zh-CN"/>
        </w:rPr>
        <w:t xml:space="preserve"> 正式实验及当前各模态数据覆盖情况</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1"/>
        <w:gridCol w:w="1120"/>
        <w:gridCol w:w="2916"/>
      </w:tblGrid>
      <w:tr w14:paraId="7F4ADE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781FE524">
            <w:pPr>
              <w:spacing w:line="240" w:lineRule="auto"/>
              <w:ind w:firstLine="0" w:firstLineChars="0"/>
              <w:jc w:val="center"/>
              <w:rPr>
                <w:b/>
                <w:bCs/>
                <w:sz w:val="18"/>
                <w:szCs w:val="18"/>
                <w:lang w:eastAsia="en-US"/>
              </w:rPr>
            </w:pPr>
            <w:r>
              <w:rPr>
                <w:b/>
                <w:bCs/>
                <w:sz w:val="18"/>
                <w:szCs w:val="18"/>
                <w:lang w:eastAsia="en-US"/>
              </w:rPr>
              <w:t>数据层级或模态</w:t>
            </w:r>
          </w:p>
        </w:tc>
        <w:tc>
          <w:tcPr>
            <w:tcW w:w="0" w:type="auto"/>
            <w:tcBorders>
              <w:top w:val="single" w:color="auto" w:sz="12" w:space="0"/>
              <w:bottom w:val="single" w:color="auto" w:sz="6" w:space="0"/>
              <w:right w:val="nil"/>
              <w:insideV w:val="nil"/>
            </w:tcBorders>
            <w:vAlign w:val="center"/>
          </w:tcPr>
          <w:p w14:paraId="64C32FC2">
            <w:pPr>
              <w:spacing w:line="240" w:lineRule="auto"/>
              <w:ind w:firstLine="0" w:firstLineChars="0"/>
              <w:jc w:val="center"/>
              <w:rPr>
                <w:b/>
                <w:bCs/>
                <w:sz w:val="18"/>
                <w:szCs w:val="18"/>
                <w:lang w:eastAsia="en-US"/>
              </w:rPr>
            </w:pPr>
            <w:r>
              <w:rPr>
                <w:b/>
                <w:bCs/>
                <w:sz w:val="18"/>
                <w:szCs w:val="18"/>
                <w:lang w:eastAsia="en-US"/>
              </w:rPr>
              <w:t>实验场次数</w:t>
            </w:r>
          </w:p>
        </w:tc>
        <w:tc>
          <w:tcPr>
            <w:tcW w:w="0" w:type="auto"/>
            <w:tcBorders>
              <w:top w:val="single" w:color="auto" w:sz="12" w:space="0"/>
              <w:bottom w:val="single" w:color="auto" w:sz="6" w:space="0"/>
              <w:right w:val="nil"/>
              <w:insideV w:val="nil"/>
            </w:tcBorders>
            <w:vAlign w:val="center"/>
          </w:tcPr>
          <w:p w14:paraId="2F0C2096">
            <w:pPr>
              <w:spacing w:line="240" w:lineRule="auto"/>
              <w:ind w:firstLine="0" w:firstLineChars="0"/>
              <w:jc w:val="center"/>
              <w:rPr>
                <w:b/>
                <w:bCs/>
                <w:sz w:val="18"/>
                <w:szCs w:val="18"/>
                <w:lang w:eastAsia="en-US"/>
              </w:rPr>
            </w:pPr>
            <w:r>
              <w:rPr>
                <w:b/>
                <w:bCs/>
                <w:sz w:val="18"/>
                <w:szCs w:val="18"/>
                <w:lang w:eastAsia="en-US"/>
              </w:rPr>
              <w:t>当前状态</w:t>
            </w:r>
          </w:p>
        </w:tc>
      </w:tr>
      <w:tr w14:paraId="7184BC3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EC837">
            <w:pPr>
              <w:spacing w:line="240" w:lineRule="auto"/>
              <w:ind w:firstLine="0" w:firstLineChars="0"/>
              <w:jc w:val="center"/>
              <w:rPr>
                <w:sz w:val="18"/>
                <w:szCs w:val="18"/>
                <w:lang w:eastAsia="en-US"/>
              </w:rPr>
            </w:pPr>
            <w:r>
              <w:rPr>
                <w:sz w:val="18"/>
                <w:szCs w:val="18"/>
                <w:lang w:eastAsia="en-US"/>
              </w:rPr>
              <w:t>行为</w:t>
            </w:r>
          </w:p>
        </w:tc>
        <w:tc>
          <w:tcPr>
            <w:tcW w:w="0" w:type="auto"/>
            <w:vAlign w:val="center"/>
          </w:tcPr>
          <w:p w14:paraId="29B94EC2">
            <w:pPr>
              <w:spacing w:line="240" w:lineRule="auto"/>
              <w:ind w:firstLine="0" w:firstLineChars="0"/>
              <w:jc w:val="center"/>
              <w:rPr>
                <w:sz w:val="18"/>
                <w:szCs w:val="18"/>
                <w:lang w:eastAsia="en-US"/>
              </w:rPr>
            </w:pPr>
            <w:r>
              <w:rPr>
                <w:sz w:val="18"/>
                <w:szCs w:val="18"/>
                <w:lang w:eastAsia="en-US"/>
              </w:rPr>
              <w:t>116</w:t>
            </w:r>
          </w:p>
        </w:tc>
        <w:tc>
          <w:tcPr>
            <w:tcW w:w="0" w:type="auto"/>
            <w:vAlign w:val="center"/>
          </w:tcPr>
          <w:p w14:paraId="450F282A">
            <w:pPr>
              <w:spacing w:line="240" w:lineRule="auto"/>
              <w:ind w:firstLine="0" w:firstLineChars="0"/>
              <w:jc w:val="center"/>
              <w:rPr>
                <w:sz w:val="18"/>
                <w:szCs w:val="18"/>
                <w:lang w:eastAsia="en-US"/>
              </w:rPr>
            </w:pPr>
            <w:r>
              <w:rPr>
                <w:sz w:val="18"/>
                <w:szCs w:val="18"/>
                <w:lang w:eastAsia="en-US"/>
              </w:rPr>
              <w:t>完整行为记录</w:t>
            </w:r>
          </w:p>
        </w:tc>
      </w:tr>
      <w:tr w14:paraId="04FD5C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C360FA2">
            <w:pPr>
              <w:spacing w:line="240" w:lineRule="auto"/>
              <w:ind w:firstLine="0" w:firstLineChars="0"/>
              <w:jc w:val="center"/>
              <w:rPr>
                <w:sz w:val="18"/>
                <w:szCs w:val="18"/>
                <w:lang w:eastAsia="en-US"/>
              </w:rPr>
            </w:pPr>
            <w:r>
              <w:rPr>
                <w:sz w:val="18"/>
                <w:szCs w:val="18"/>
                <w:lang w:eastAsia="en-US"/>
              </w:rPr>
              <w:t>RGB</w:t>
            </w:r>
          </w:p>
        </w:tc>
        <w:tc>
          <w:tcPr>
            <w:tcW w:w="0" w:type="auto"/>
            <w:vAlign w:val="center"/>
          </w:tcPr>
          <w:p w14:paraId="26D26E0D">
            <w:pPr>
              <w:spacing w:line="240" w:lineRule="auto"/>
              <w:ind w:firstLine="0" w:firstLineChars="0"/>
              <w:jc w:val="center"/>
              <w:rPr>
                <w:sz w:val="18"/>
                <w:szCs w:val="18"/>
                <w:lang w:eastAsia="en-US"/>
              </w:rPr>
            </w:pPr>
            <w:r>
              <w:rPr>
                <w:sz w:val="18"/>
                <w:szCs w:val="18"/>
                <w:lang w:eastAsia="en-US"/>
              </w:rPr>
              <w:t>115</w:t>
            </w:r>
          </w:p>
        </w:tc>
        <w:tc>
          <w:tcPr>
            <w:tcW w:w="0" w:type="auto"/>
            <w:vAlign w:val="center"/>
          </w:tcPr>
          <w:p w14:paraId="71D49FA4">
            <w:pPr>
              <w:spacing w:line="240" w:lineRule="auto"/>
              <w:ind w:firstLine="0" w:firstLineChars="0"/>
              <w:jc w:val="center"/>
              <w:rPr>
                <w:sz w:val="18"/>
                <w:szCs w:val="18"/>
                <w:lang w:eastAsia="en-US"/>
              </w:rPr>
            </w:pPr>
            <w:r>
              <w:rPr>
                <w:sz w:val="18"/>
                <w:szCs w:val="18"/>
                <w:lang w:eastAsia="en-US"/>
              </w:rPr>
              <w:t>1 个场次未形成有效视频记录</w:t>
            </w:r>
          </w:p>
        </w:tc>
      </w:tr>
      <w:tr w14:paraId="70B940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6C8DEE4">
            <w:pPr>
              <w:spacing w:line="240" w:lineRule="auto"/>
              <w:ind w:firstLine="0" w:firstLineChars="0"/>
              <w:jc w:val="center"/>
              <w:rPr>
                <w:sz w:val="18"/>
                <w:szCs w:val="18"/>
                <w:lang w:eastAsia="en-US"/>
              </w:rPr>
            </w:pPr>
            <w:r>
              <w:rPr>
                <w:sz w:val="18"/>
                <w:szCs w:val="18"/>
                <w:lang w:eastAsia="en-US"/>
              </w:rPr>
              <w:t>毫米波</w:t>
            </w:r>
          </w:p>
        </w:tc>
        <w:tc>
          <w:tcPr>
            <w:tcW w:w="0" w:type="auto"/>
            <w:vAlign w:val="center"/>
          </w:tcPr>
          <w:p w14:paraId="32870C4F">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01F009EB">
            <w:pPr>
              <w:spacing w:line="240" w:lineRule="auto"/>
              <w:ind w:firstLine="0" w:firstLineChars="0"/>
              <w:jc w:val="center"/>
              <w:rPr>
                <w:sz w:val="18"/>
                <w:szCs w:val="18"/>
                <w:lang w:eastAsia="en-US"/>
              </w:rPr>
            </w:pPr>
            <w:r>
              <w:rPr>
                <w:sz w:val="18"/>
                <w:szCs w:val="18"/>
                <w:lang w:eastAsia="en-US"/>
              </w:rPr>
              <w:t>5 个场次未形成可用采集数据</w:t>
            </w:r>
          </w:p>
        </w:tc>
      </w:tr>
      <w:tr w14:paraId="06209A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DE5CD0F">
            <w:pPr>
              <w:spacing w:line="240" w:lineRule="auto"/>
              <w:ind w:firstLine="0" w:firstLineChars="0"/>
              <w:jc w:val="center"/>
              <w:rPr>
                <w:sz w:val="18"/>
                <w:szCs w:val="18"/>
                <w:lang w:eastAsia="en-US"/>
              </w:rPr>
            </w:pPr>
            <w:r>
              <w:rPr>
                <w:sz w:val="18"/>
                <w:szCs w:val="18"/>
                <w:lang w:eastAsia="en-US"/>
              </w:rPr>
              <w:t>近红外</w:t>
            </w:r>
          </w:p>
        </w:tc>
        <w:tc>
          <w:tcPr>
            <w:tcW w:w="0" w:type="auto"/>
            <w:vAlign w:val="center"/>
          </w:tcPr>
          <w:p w14:paraId="2C11F79E">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4855295C">
            <w:pPr>
              <w:spacing w:line="240" w:lineRule="auto"/>
              <w:ind w:firstLine="0" w:firstLineChars="0"/>
              <w:jc w:val="center"/>
              <w:rPr>
                <w:sz w:val="18"/>
                <w:szCs w:val="18"/>
                <w:lang w:eastAsia="en-US"/>
              </w:rPr>
            </w:pPr>
            <w:r>
              <w:rPr>
                <w:sz w:val="18"/>
                <w:szCs w:val="18"/>
                <w:lang w:eastAsia="en-US"/>
              </w:rPr>
              <w:t>6 个场次未进入当前有效特征提取</w:t>
            </w:r>
          </w:p>
        </w:tc>
      </w:tr>
    </w:tbl>
    <w:p w14:paraId="3CAE908A">
      <w:pPr>
        <w:ind w:firstLine="0" w:firstLineChars="0"/>
        <w:rPr>
          <w:rFonts w:hint="eastAsia"/>
        </w:rPr>
      </w:pPr>
    </w:p>
    <w:p w14:paraId="623994E0">
      <w:pPr>
        <w:ind w:firstLine="420"/>
      </w:pPr>
    </w:p>
    <w:p w14:paraId="3091B293">
      <w:pPr>
        <w:pStyle w:val="5"/>
        <w:rPr>
          <w:rFonts w:hint="eastAsia"/>
          <w:bCs/>
        </w:rPr>
      </w:pPr>
      <w:r>
        <w:rPr>
          <w:rFonts w:hint="eastAsia"/>
        </w:rPr>
        <w:t xml:space="preserve">5.2 </w:t>
      </w:r>
      <w:r>
        <w:rPr>
          <w:bCs/>
        </w:rPr>
        <w:t>行为表现与主观注意状态</w:t>
      </w:r>
    </w:p>
    <w:p w14:paraId="7FC33153">
      <w:pPr>
        <w:pStyle w:val="5"/>
      </w:pPr>
      <w:r>
        <w:t>5.2.1 整体行为表现与任务进程</w:t>
      </w:r>
    </w:p>
    <w:p w14:paraId="58CDE053">
      <w:pPr>
        <w:ind w:firstLine="420"/>
      </w:pPr>
      <w:r>
        <w:t>整体上，正确 Go RT 的场次均值为 318.93 ms（</w:t>
      </w:r>
      <w:r>
        <w:rPr>
          <w:i/>
          <w:iCs/>
        </w:rPr>
        <w:t>SD</w:t>
      </w:r>
      <w:r>
        <w:t> = 88.88），场次中位数的平均水平为 309.31 ms（</w:t>
      </w:r>
      <w:r>
        <w:rPr>
          <w:i/>
          <w:iCs/>
        </w:rPr>
        <w:t>SD</w:t>
      </w:r>
      <w:r>
        <w:t> = 116.06）。正确 Go RT 的标准差为 98.40 ms（</w:t>
      </w:r>
      <w:r>
        <w:rPr>
          <w:i/>
          <w:iCs/>
        </w:rPr>
        <w:t>SD</w:t>
      </w:r>
      <w:r>
        <w:t> = 63.63），RT-CV 为 0.3033（</w:t>
      </w:r>
      <w:r>
        <w:rPr>
          <w:i/>
          <w:iCs/>
        </w:rPr>
        <w:t>SD</w:t>
      </w:r>
      <w:r>
        <w:t> = 0.1371）。错误指标中，总 Go 遗漏率平均为 2.20%（</w:t>
      </w:r>
      <w:r>
        <w:rPr>
          <w:i/>
          <w:iCs/>
        </w:rPr>
        <w:t>SD</w:t>
      </w:r>
      <w:r>
        <w:t> = 5.08%），No-Go 误按率平均为 33.44%（</w:t>
      </w:r>
      <w:r>
        <w:rPr>
          <w:i/>
          <w:iCs/>
        </w:rPr>
        <w:t>SD</w:t>
      </w:r>
      <w:r>
        <w:t> = 18.02%）；信号检测辨别力 d′ 的场次均值为 2.93（</w:t>
      </w:r>
      <w:r>
        <w:rPr>
          <w:i/>
          <w:iCs/>
        </w:rPr>
        <w:t>SD</w:t>
      </w:r>
      <w:r>
        <w:t> = 1.01）。</w:t>
      </w:r>
    </w:p>
    <w:p w14:paraId="48F1ECB0">
      <w:pPr>
        <w:keepNext/>
        <w:ind w:firstLine="0" w:firstLineChars="0"/>
        <w:jc w:val="center"/>
      </w:pPr>
      <w:r>
        <w:rPr>
          <w:rFonts w:hint="eastAsia"/>
        </w:rPr>
        <w:drawing>
          <wp:inline distT="0" distB="0" distL="0" distR="0">
            <wp:extent cx="2933700" cy="19100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2943864" cy="1916737"/>
                    </a:xfrm>
                    <a:prstGeom prst="rect">
                      <a:avLst/>
                    </a:prstGeom>
                    <a:noFill/>
                    <a:ln>
                      <a:noFill/>
                    </a:ln>
                  </pic:spPr>
                </pic:pic>
              </a:graphicData>
            </a:graphic>
          </wp:inline>
        </w:drawing>
      </w:r>
    </w:p>
    <w:p w14:paraId="0411F76E">
      <w:pPr>
        <w:pStyle w:val="11"/>
        <w:rPr>
          <w:lang w:eastAsia="zh-CN"/>
        </w:rPr>
      </w:pPr>
      <w:r>
        <w:rPr>
          <w:rFonts w:hint="eastAsia"/>
          <w:lang w:eastAsia="zh-CN"/>
        </w:rPr>
        <w:t>图 12 正确Go试次反应时</w:t>
      </w:r>
    </w:p>
    <w:p w14:paraId="7F32F28C">
      <w:pPr>
        <w:ind w:firstLine="420"/>
      </w:pPr>
      <w:r>
        <w:t>采用参与者聚类自助重采样比较 B1 与 B2。结果显示，B2 的 RT-CV 高于 B1，Δ = 0.029，95% CI [0.007, 0.055]；正确 Go RT 的标准差亦增加，Δ = 8.9 ms，95% CI [1.4, 17.2]。正确 Go RT 的均值和中位数、总 Go 遗漏率、No-Go 误按率及 d′的区块差异的 95% 置信区间均包含 0。</w:t>
      </w:r>
    </w:p>
    <w:p w14:paraId="608FCF08">
      <w:pPr>
        <w:ind w:firstLine="420"/>
      </w:pPr>
      <w:r>
        <w:t>进一步采用参与者聚类 GEE 考察 Block 内时间进程。RT-CV 随 cycle 推进而升高，</w:t>
      </w:r>
      <w:r>
        <w:rPr>
          <w:i/>
          <w:iCs/>
        </w:rPr>
        <w:t>B</w:t>
      </w:r>
      <w:r>
        <w:t> = 0.0078，</w:t>
      </w:r>
      <w:r>
        <w:rPr>
          <w:i/>
          <w:iCs/>
        </w:rPr>
        <w:t>SE</w:t>
      </w:r>
      <w:r>
        <w:t> = 0.0023，95% CI [0.0033, 0.0122]；B2 的整体 RT-CV 亦高于 B1，</w:t>
      </w:r>
      <w:r>
        <w:rPr>
          <w:i/>
          <w:iCs/>
        </w:rPr>
        <w:t>B</w:t>
      </w:r>
      <w:r>
        <w:t> = 0.0292，95% CI [0.0022, 0.0562]。Block × cycle 交互项的 95% CI 包含 0。总体上，任务持续过程中的主要行为变化表现为反应时变异增加。完整 GEE 参数</w:t>
      </w:r>
      <w:commentRangeStart w:id="10"/>
      <w:r>
        <w:t>见附录 C</w:t>
      </w:r>
      <w:commentRangeEnd w:id="10"/>
      <w:r>
        <w:rPr>
          <w:rStyle w:val="27"/>
        </w:rPr>
        <w:commentReference w:id="10"/>
      </w:r>
      <w:r>
        <w:rPr>
          <w:rFonts w:hint="eastAsia"/>
        </w:rPr>
        <w:t>。</w:t>
      </w:r>
    </w:p>
    <w:p w14:paraId="3DEF8F52">
      <w:pPr>
        <w:pStyle w:val="11"/>
        <w:keepNext/>
        <w:rPr>
          <w:lang w:eastAsia="zh-CN"/>
        </w:rPr>
      </w:pPr>
      <w:r>
        <w:rPr>
          <w:rFonts w:hint="eastAsia"/>
          <w:lang w:eastAsia="zh-CN"/>
        </w:rPr>
        <w:t xml:space="preserve">表 </w:t>
      </w:r>
      <w:r>
        <w:fldChar w:fldCharType="begin"/>
      </w:r>
      <w:r>
        <w:rPr>
          <w:lang w:eastAsia="zh-CN"/>
        </w:rPr>
        <w:instrText xml:space="preserve"> </w:instrText>
      </w:r>
      <w:r>
        <w:rPr>
          <w:rFonts w:hint="eastAsia"/>
          <w:lang w:eastAsia="zh-CN"/>
        </w:rPr>
        <w:instrText xml:space="preserve">SEQ 表 \* ARABIC</w:instrText>
      </w:r>
      <w:r>
        <w:rPr>
          <w:lang w:eastAsia="zh-CN"/>
        </w:rPr>
        <w:instrText xml:space="preserve"> </w:instrText>
      </w:r>
      <w:r>
        <w:fldChar w:fldCharType="separate"/>
      </w:r>
      <w:r>
        <w:rPr>
          <w:lang w:eastAsia="zh-CN"/>
        </w:rPr>
        <w:t>4</w:t>
      </w:r>
      <w:r>
        <w:fldChar w:fldCharType="end"/>
      </w:r>
      <w:r>
        <w:rPr>
          <w:rFonts w:hint="eastAsia"/>
          <w:lang w:eastAsia="zh-CN"/>
        </w:rPr>
        <w:t xml:space="preserve"> 正式实验主要行为指标的描述统计</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47"/>
        <w:gridCol w:w="1491"/>
        <w:gridCol w:w="1491"/>
        <w:gridCol w:w="1491"/>
      </w:tblGrid>
      <w:tr w14:paraId="3B4422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22A75196">
            <w:pPr>
              <w:spacing w:line="240" w:lineRule="auto"/>
              <w:ind w:firstLine="0" w:firstLineChars="0"/>
              <w:jc w:val="center"/>
              <w:rPr>
                <w:b/>
                <w:bCs/>
                <w:sz w:val="18"/>
                <w:szCs w:val="18"/>
                <w:lang w:eastAsia="en-US"/>
              </w:rPr>
            </w:pPr>
            <w:r>
              <w:rPr>
                <w:b/>
                <w:bCs/>
                <w:sz w:val="18"/>
                <w:szCs w:val="18"/>
                <w:lang w:eastAsia="en-US"/>
              </w:rPr>
              <w:t>指标</w:t>
            </w:r>
          </w:p>
        </w:tc>
        <w:tc>
          <w:tcPr>
            <w:tcW w:w="0" w:type="auto"/>
            <w:tcBorders>
              <w:top w:val="single" w:color="auto" w:sz="12" w:space="0"/>
              <w:bottom w:val="single" w:color="auto" w:sz="6" w:space="0"/>
              <w:right w:val="nil"/>
              <w:insideV w:val="nil"/>
            </w:tcBorders>
            <w:vAlign w:val="center"/>
          </w:tcPr>
          <w:p w14:paraId="07F1BEA3">
            <w:pPr>
              <w:spacing w:line="240" w:lineRule="auto"/>
              <w:ind w:firstLine="0" w:firstLineChars="0"/>
              <w:jc w:val="center"/>
              <w:rPr>
                <w:b/>
                <w:bCs/>
                <w:sz w:val="18"/>
                <w:szCs w:val="18"/>
                <w:lang w:eastAsia="en-US"/>
              </w:rPr>
            </w:pPr>
            <w:r>
              <w:rPr>
                <w:b/>
                <w:bCs/>
                <w:sz w:val="18"/>
                <w:szCs w:val="18"/>
                <w:lang w:eastAsia="en-US"/>
              </w:rPr>
              <w:t>整体水平</w:t>
            </w:r>
          </w:p>
        </w:tc>
        <w:tc>
          <w:tcPr>
            <w:tcW w:w="0" w:type="auto"/>
            <w:tcBorders>
              <w:top w:val="single" w:color="auto" w:sz="12" w:space="0"/>
              <w:bottom w:val="single" w:color="auto" w:sz="6" w:space="0"/>
              <w:right w:val="nil"/>
              <w:insideV w:val="nil"/>
            </w:tcBorders>
            <w:vAlign w:val="center"/>
          </w:tcPr>
          <w:p w14:paraId="602B3034">
            <w:pPr>
              <w:spacing w:line="240" w:lineRule="auto"/>
              <w:ind w:firstLine="0" w:firstLineChars="0"/>
              <w:jc w:val="center"/>
              <w:rPr>
                <w:b/>
                <w:bCs/>
                <w:sz w:val="18"/>
                <w:szCs w:val="18"/>
                <w:lang w:eastAsia="en-US"/>
              </w:rPr>
            </w:pPr>
            <w:r>
              <w:rPr>
                <w:b/>
                <w:bCs/>
                <w:sz w:val="18"/>
                <w:szCs w:val="18"/>
                <w:lang w:eastAsia="en-US"/>
              </w:rPr>
              <w:t>B1</w:t>
            </w:r>
          </w:p>
        </w:tc>
        <w:tc>
          <w:tcPr>
            <w:tcW w:w="0" w:type="auto"/>
            <w:tcBorders>
              <w:top w:val="single" w:color="auto" w:sz="12" w:space="0"/>
              <w:bottom w:val="single" w:color="auto" w:sz="6" w:space="0"/>
              <w:right w:val="nil"/>
              <w:insideV w:val="nil"/>
            </w:tcBorders>
            <w:vAlign w:val="center"/>
          </w:tcPr>
          <w:p w14:paraId="73E5358C">
            <w:pPr>
              <w:spacing w:line="240" w:lineRule="auto"/>
              <w:ind w:firstLine="0" w:firstLineChars="0"/>
              <w:jc w:val="center"/>
              <w:rPr>
                <w:b/>
                <w:bCs/>
                <w:sz w:val="18"/>
                <w:szCs w:val="18"/>
                <w:lang w:eastAsia="en-US"/>
              </w:rPr>
            </w:pPr>
            <w:r>
              <w:rPr>
                <w:b/>
                <w:bCs/>
                <w:sz w:val="18"/>
                <w:szCs w:val="18"/>
                <w:lang w:eastAsia="en-US"/>
              </w:rPr>
              <w:t>B2</w:t>
            </w:r>
          </w:p>
        </w:tc>
      </w:tr>
      <w:tr w14:paraId="7CB1C22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FFE0ECF">
            <w:pPr>
              <w:spacing w:line="240" w:lineRule="auto"/>
              <w:ind w:firstLine="0" w:firstLineChars="0"/>
              <w:jc w:val="center"/>
              <w:rPr>
                <w:sz w:val="18"/>
                <w:szCs w:val="18"/>
                <w:lang w:eastAsia="en-US"/>
              </w:rPr>
            </w:pPr>
            <w:r>
              <w:rPr>
                <w:sz w:val="18"/>
                <w:szCs w:val="18"/>
                <w:lang w:eastAsia="en-US"/>
              </w:rPr>
              <w:t>正确 Go RT 均值（ms）</w:t>
            </w:r>
          </w:p>
        </w:tc>
        <w:tc>
          <w:tcPr>
            <w:tcW w:w="0" w:type="auto"/>
            <w:vAlign w:val="center"/>
          </w:tcPr>
          <w:p w14:paraId="108AF411">
            <w:pPr>
              <w:spacing w:line="240" w:lineRule="auto"/>
              <w:ind w:firstLine="0" w:firstLineChars="0"/>
              <w:jc w:val="center"/>
              <w:rPr>
                <w:sz w:val="18"/>
                <w:szCs w:val="18"/>
                <w:lang w:eastAsia="en-US"/>
              </w:rPr>
            </w:pPr>
            <w:r>
              <w:rPr>
                <w:sz w:val="18"/>
                <w:szCs w:val="18"/>
                <w:lang w:eastAsia="en-US"/>
              </w:rPr>
              <w:t>318.93 (88.88)</w:t>
            </w:r>
          </w:p>
        </w:tc>
        <w:tc>
          <w:tcPr>
            <w:tcW w:w="0" w:type="auto"/>
            <w:vAlign w:val="center"/>
          </w:tcPr>
          <w:p w14:paraId="3DC1F3FD">
            <w:pPr>
              <w:spacing w:line="240" w:lineRule="auto"/>
              <w:ind w:firstLine="0" w:firstLineChars="0"/>
              <w:jc w:val="center"/>
              <w:rPr>
                <w:sz w:val="18"/>
                <w:szCs w:val="18"/>
                <w:lang w:eastAsia="en-US"/>
              </w:rPr>
            </w:pPr>
            <w:r>
              <w:rPr>
                <w:sz w:val="18"/>
                <w:szCs w:val="18"/>
                <w:lang w:eastAsia="en-US"/>
              </w:rPr>
              <w:t>319.10 (88.41)</w:t>
            </w:r>
          </w:p>
        </w:tc>
        <w:tc>
          <w:tcPr>
            <w:tcW w:w="0" w:type="auto"/>
            <w:vAlign w:val="center"/>
          </w:tcPr>
          <w:p w14:paraId="54B9F325">
            <w:pPr>
              <w:spacing w:line="240" w:lineRule="auto"/>
              <w:ind w:firstLine="0" w:firstLineChars="0"/>
              <w:jc w:val="center"/>
              <w:rPr>
                <w:sz w:val="18"/>
                <w:szCs w:val="18"/>
                <w:lang w:eastAsia="en-US"/>
              </w:rPr>
            </w:pPr>
            <w:r>
              <w:rPr>
                <w:sz w:val="18"/>
                <w:szCs w:val="18"/>
                <w:lang w:eastAsia="en-US"/>
              </w:rPr>
              <w:t>319.14 (94.79)</w:t>
            </w:r>
          </w:p>
        </w:tc>
      </w:tr>
      <w:tr w14:paraId="448A44B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A727211">
            <w:pPr>
              <w:spacing w:line="240" w:lineRule="auto"/>
              <w:ind w:firstLine="0" w:firstLineChars="0"/>
              <w:jc w:val="center"/>
              <w:rPr>
                <w:sz w:val="18"/>
                <w:szCs w:val="18"/>
                <w:lang w:eastAsia="en-US"/>
              </w:rPr>
            </w:pPr>
            <w:r>
              <w:rPr>
                <w:sz w:val="18"/>
                <w:szCs w:val="18"/>
                <w:lang w:eastAsia="en-US"/>
              </w:rPr>
              <w:t>正确 Go RT 中位数（ms）</w:t>
            </w:r>
          </w:p>
        </w:tc>
        <w:tc>
          <w:tcPr>
            <w:tcW w:w="0" w:type="auto"/>
            <w:vAlign w:val="center"/>
          </w:tcPr>
          <w:p w14:paraId="238EC1A1">
            <w:pPr>
              <w:spacing w:line="240" w:lineRule="auto"/>
              <w:ind w:firstLine="0" w:firstLineChars="0"/>
              <w:jc w:val="center"/>
              <w:rPr>
                <w:sz w:val="18"/>
                <w:szCs w:val="18"/>
                <w:lang w:eastAsia="en-US"/>
              </w:rPr>
            </w:pPr>
            <w:r>
              <w:rPr>
                <w:sz w:val="18"/>
                <w:szCs w:val="18"/>
                <w:lang w:eastAsia="en-US"/>
              </w:rPr>
              <w:t>309.31 (116.06)</w:t>
            </w:r>
          </w:p>
        </w:tc>
        <w:tc>
          <w:tcPr>
            <w:tcW w:w="0" w:type="auto"/>
            <w:vAlign w:val="center"/>
          </w:tcPr>
          <w:p w14:paraId="36A713F5">
            <w:pPr>
              <w:spacing w:line="240" w:lineRule="auto"/>
              <w:ind w:firstLine="0" w:firstLineChars="0"/>
              <w:jc w:val="center"/>
              <w:rPr>
                <w:sz w:val="18"/>
                <w:szCs w:val="18"/>
                <w:lang w:eastAsia="en-US"/>
              </w:rPr>
            </w:pPr>
            <w:r>
              <w:rPr>
                <w:sz w:val="18"/>
                <w:szCs w:val="18"/>
                <w:lang w:eastAsia="en-US"/>
              </w:rPr>
              <w:t>309.38 (112.56)</w:t>
            </w:r>
          </w:p>
        </w:tc>
        <w:tc>
          <w:tcPr>
            <w:tcW w:w="0" w:type="auto"/>
            <w:vAlign w:val="center"/>
          </w:tcPr>
          <w:p w14:paraId="42B56902">
            <w:pPr>
              <w:spacing w:line="240" w:lineRule="auto"/>
              <w:ind w:firstLine="0" w:firstLineChars="0"/>
              <w:jc w:val="center"/>
              <w:rPr>
                <w:sz w:val="18"/>
                <w:szCs w:val="18"/>
                <w:lang w:eastAsia="en-US"/>
              </w:rPr>
            </w:pPr>
            <w:r>
              <w:rPr>
                <w:sz w:val="18"/>
                <w:szCs w:val="18"/>
                <w:lang w:eastAsia="en-US"/>
              </w:rPr>
              <w:t>306.69 (118.59)</w:t>
            </w:r>
          </w:p>
        </w:tc>
      </w:tr>
      <w:tr w14:paraId="52169D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77C371F">
            <w:pPr>
              <w:spacing w:line="240" w:lineRule="auto"/>
              <w:ind w:firstLine="0" w:firstLineChars="0"/>
              <w:jc w:val="center"/>
              <w:rPr>
                <w:sz w:val="18"/>
                <w:szCs w:val="18"/>
                <w:lang w:eastAsia="en-US"/>
              </w:rPr>
            </w:pPr>
            <w:r>
              <w:rPr>
                <w:sz w:val="18"/>
                <w:szCs w:val="18"/>
                <w:lang w:eastAsia="en-US"/>
              </w:rPr>
              <w:t>正确 Go RT 标准差（ms）</w:t>
            </w:r>
          </w:p>
        </w:tc>
        <w:tc>
          <w:tcPr>
            <w:tcW w:w="0" w:type="auto"/>
            <w:vAlign w:val="center"/>
          </w:tcPr>
          <w:p w14:paraId="435B4AAC">
            <w:pPr>
              <w:spacing w:line="240" w:lineRule="auto"/>
              <w:ind w:firstLine="0" w:firstLineChars="0"/>
              <w:jc w:val="center"/>
              <w:rPr>
                <w:sz w:val="18"/>
                <w:szCs w:val="18"/>
                <w:lang w:eastAsia="en-US"/>
              </w:rPr>
            </w:pPr>
            <w:r>
              <w:rPr>
                <w:sz w:val="18"/>
                <w:szCs w:val="18"/>
                <w:lang w:eastAsia="en-US"/>
              </w:rPr>
              <w:t>98.40 (63.63)</w:t>
            </w:r>
          </w:p>
        </w:tc>
        <w:tc>
          <w:tcPr>
            <w:tcW w:w="0" w:type="auto"/>
            <w:vAlign w:val="center"/>
          </w:tcPr>
          <w:p w14:paraId="204C7AFC">
            <w:pPr>
              <w:spacing w:line="240" w:lineRule="auto"/>
              <w:ind w:firstLine="0" w:firstLineChars="0"/>
              <w:jc w:val="center"/>
              <w:rPr>
                <w:sz w:val="18"/>
                <w:szCs w:val="18"/>
                <w:lang w:eastAsia="en-US"/>
              </w:rPr>
            </w:pPr>
            <w:r>
              <w:rPr>
                <w:sz w:val="18"/>
                <w:szCs w:val="18"/>
                <w:lang w:eastAsia="en-US"/>
              </w:rPr>
              <w:t>91.95 (56.43)</w:t>
            </w:r>
          </w:p>
        </w:tc>
        <w:tc>
          <w:tcPr>
            <w:tcW w:w="0" w:type="auto"/>
            <w:vAlign w:val="center"/>
          </w:tcPr>
          <w:p w14:paraId="3116C880">
            <w:pPr>
              <w:spacing w:line="240" w:lineRule="auto"/>
              <w:ind w:firstLine="0" w:firstLineChars="0"/>
              <w:jc w:val="center"/>
              <w:rPr>
                <w:sz w:val="18"/>
                <w:szCs w:val="18"/>
                <w:lang w:eastAsia="en-US"/>
              </w:rPr>
            </w:pPr>
            <w:r>
              <w:rPr>
                <w:sz w:val="18"/>
                <w:szCs w:val="18"/>
                <w:lang w:eastAsia="en-US"/>
              </w:rPr>
              <w:t>100.76 (73.02)</w:t>
            </w:r>
          </w:p>
        </w:tc>
      </w:tr>
      <w:tr w14:paraId="54EE48C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8AEEB5A">
            <w:pPr>
              <w:spacing w:line="240" w:lineRule="auto"/>
              <w:ind w:firstLine="0" w:firstLineChars="0"/>
              <w:jc w:val="center"/>
              <w:rPr>
                <w:sz w:val="18"/>
                <w:szCs w:val="18"/>
                <w:lang w:eastAsia="en-US"/>
              </w:rPr>
            </w:pPr>
            <w:r>
              <w:rPr>
                <w:sz w:val="18"/>
                <w:szCs w:val="18"/>
                <w:lang w:eastAsia="en-US"/>
              </w:rPr>
              <w:t>RT-CV</w:t>
            </w:r>
          </w:p>
        </w:tc>
        <w:tc>
          <w:tcPr>
            <w:tcW w:w="0" w:type="auto"/>
            <w:vAlign w:val="center"/>
          </w:tcPr>
          <w:p w14:paraId="7987A74B">
            <w:pPr>
              <w:spacing w:line="240" w:lineRule="auto"/>
              <w:ind w:firstLine="0" w:firstLineChars="0"/>
              <w:jc w:val="center"/>
              <w:rPr>
                <w:sz w:val="18"/>
                <w:szCs w:val="18"/>
                <w:lang w:eastAsia="en-US"/>
              </w:rPr>
            </w:pPr>
            <w:r>
              <w:rPr>
                <w:sz w:val="18"/>
                <w:szCs w:val="18"/>
                <w:lang w:eastAsia="en-US"/>
              </w:rPr>
              <w:t>0.3033 (0.1371)</w:t>
            </w:r>
          </w:p>
        </w:tc>
        <w:tc>
          <w:tcPr>
            <w:tcW w:w="0" w:type="auto"/>
            <w:vAlign w:val="center"/>
          </w:tcPr>
          <w:p w14:paraId="6429F303">
            <w:pPr>
              <w:spacing w:line="240" w:lineRule="auto"/>
              <w:ind w:firstLine="0" w:firstLineChars="0"/>
              <w:jc w:val="center"/>
              <w:rPr>
                <w:sz w:val="18"/>
                <w:szCs w:val="18"/>
                <w:lang w:eastAsia="en-US"/>
              </w:rPr>
            </w:pPr>
            <w:r>
              <w:rPr>
                <w:sz w:val="18"/>
                <w:szCs w:val="18"/>
                <w:lang w:eastAsia="en-US"/>
              </w:rPr>
              <w:t>0.2852 (0.1185)</w:t>
            </w:r>
          </w:p>
        </w:tc>
        <w:tc>
          <w:tcPr>
            <w:tcW w:w="0" w:type="auto"/>
            <w:vAlign w:val="center"/>
          </w:tcPr>
          <w:p w14:paraId="385CA337">
            <w:pPr>
              <w:spacing w:line="240" w:lineRule="auto"/>
              <w:ind w:firstLine="0" w:firstLineChars="0"/>
              <w:jc w:val="center"/>
              <w:rPr>
                <w:sz w:val="18"/>
                <w:szCs w:val="18"/>
                <w:lang w:eastAsia="en-US"/>
              </w:rPr>
            </w:pPr>
            <w:r>
              <w:rPr>
                <w:sz w:val="18"/>
                <w:szCs w:val="18"/>
                <w:lang w:eastAsia="en-US"/>
              </w:rPr>
              <w:t>0.3083 (0.1597)</w:t>
            </w:r>
          </w:p>
        </w:tc>
      </w:tr>
      <w:tr w14:paraId="7C40D9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469CA6F">
            <w:pPr>
              <w:spacing w:line="240" w:lineRule="auto"/>
              <w:ind w:firstLine="0" w:firstLineChars="0"/>
              <w:jc w:val="center"/>
              <w:rPr>
                <w:sz w:val="18"/>
                <w:szCs w:val="18"/>
                <w:lang w:eastAsia="en-US"/>
              </w:rPr>
            </w:pPr>
            <w:r>
              <w:rPr>
                <w:sz w:val="18"/>
                <w:szCs w:val="18"/>
                <w:lang w:eastAsia="en-US"/>
              </w:rPr>
              <w:t>总 Go 遗漏率</w:t>
            </w:r>
          </w:p>
        </w:tc>
        <w:tc>
          <w:tcPr>
            <w:tcW w:w="0" w:type="auto"/>
            <w:vAlign w:val="center"/>
          </w:tcPr>
          <w:p w14:paraId="7987F89C">
            <w:pPr>
              <w:spacing w:line="240" w:lineRule="auto"/>
              <w:ind w:firstLine="0" w:firstLineChars="0"/>
              <w:jc w:val="center"/>
              <w:rPr>
                <w:sz w:val="18"/>
                <w:szCs w:val="18"/>
                <w:lang w:eastAsia="en-US"/>
              </w:rPr>
            </w:pPr>
            <w:r>
              <w:rPr>
                <w:sz w:val="18"/>
                <w:szCs w:val="18"/>
                <w:lang w:eastAsia="en-US"/>
              </w:rPr>
              <w:t>2.20% (5.08%)</w:t>
            </w:r>
          </w:p>
        </w:tc>
        <w:tc>
          <w:tcPr>
            <w:tcW w:w="0" w:type="auto"/>
            <w:vAlign w:val="center"/>
          </w:tcPr>
          <w:p w14:paraId="70597546">
            <w:pPr>
              <w:spacing w:line="240" w:lineRule="auto"/>
              <w:ind w:firstLine="0" w:firstLineChars="0"/>
              <w:jc w:val="center"/>
              <w:rPr>
                <w:sz w:val="18"/>
                <w:szCs w:val="18"/>
                <w:lang w:eastAsia="en-US"/>
              </w:rPr>
            </w:pPr>
            <w:r>
              <w:rPr>
                <w:sz w:val="18"/>
                <w:szCs w:val="18"/>
                <w:lang w:eastAsia="en-US"/>
              </w:rPr>
              <w:t>1.86% (4.69%)</w:t>
            </w:r>
          </w:p>
        </w:tc>
        <w:tc>
          <w:tcPr>
            <w:tcW w:w="0" w:type="auto"/>
            <w:vAlign w:val="center"/>
          </w:tcPr>
          <w:p w14:paraId="32F50155">
            <w:pPr>
              <w:spacing w:line="240" w:lineRule="auto"/>
              <w:ind w:firstLine="0" w:firstLineChars="0"/>
              <w:jc w:val="center"/>
              <w:rPr>
                <w:sz w:val="18"/>
                <w:szCs w:val="18"/>
                <w:lang w:eastAsia="en-US"/>
              </w:rPr>
            </w:pPr>
            <w:r>
              <w:rPr>
                <w:sz w:val="18"/>
                <w:szCs w:val="18"/>
                <w:lang w:eastAsia="en-US"/>
              </w:rPr>
              <w:t>2.53% (5.95%)</w:t>
            </w:r>
          </w:p>
        </w:tc>
      </w:tr>
      <w:tr w14:paraId="34B76E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EF5D801">
            <w:pPr>
              <w:spacing w:line="240" w:lineRule="auto"/>
              <w:ind w:firstLine="0" w:firstLineChars="0"/>
              <w:jc w:val="center"/>
              <w:rPr>
                <w:sz w:val="18"/>
                <w:szCs w:val="18"/>
                <w:lang w:eastAsia="en-US"/>
              </w:rPr>
            </w:pPr>
            <w:r>
              <w:rPr>
                <w:sz w:val="18"/>
                <w:szCs w:val="18"/>
                <w:lang w:eastAsia="en-US"/>
              </w:rPr>
              <w:t>无时序歧义 Go 遗漏率</w:t>
            </w:r>
          </w:p>
        </w:tc>
        <w:tc>
          <w:tcPr>
            <w:tcW w:w="0" w:type="auto"/>
            <w:vAlign w:val="center"/>
          </w:tcPr>
          <w:p w14:paraId="186C761B">
            <w:pPr>
              <w:spacing w:line="240" w:lineRule="auto"/>
              <w:ind w:firstLine="0" w:firstLineChars="0"/>
              <w:jc w:val="center"/>
              <w:rPr>
                <w:sz w:val="18"/>
                <w:szCs w:val="18"/>
                <w:lang w:eastAsia="en-US"/>
              </w:rPr>
            </w:pPr>
            <w:r>
              <w:rPr>
                <w:sz w:val="18"/>
                <w:szCs w:val="18"/>
                <w:lang w:eastAsia="en-US"/>
              </w:rPr>
              <w:t>1.57% (4.44%)</w:t>
            </w:r>
          </w:p>
        </w:tc>
        <w:tc>
          <w:tcPr>
            <w:tcW w:w="0" w:type="auto"/>
            <w:vAlign w:val="center"/>
          </w:tcPr>
          <w:p w14:paraId="13FBB830">
            <w:pPr>
              <w:spacing w:line="240" w:lineRule="auto"/>
              <w:ind w:firstLine="0" w:firstLineChars="0"/>
              <w:jc w:val="center"/>
              <w:rPr>
                <w:sz w:val="18"/>
                <w:szCs w:val="18"/>
                <w:lang w:eastAsia="en-US"/>
              </w:rPr>
            </w:pPr>
            <w:r>
              <w:rPr>
                <w:sz w:val="18"/>
                <w:szCs w:val="18"/>
                <w:lang w:eastAsia="en-US"/>
              </w:rPr>
              <w:t>1.39% (4.17%)</w:t>
            </w:r>
          </w:p>
        </w:tc>
        <w:tc>
          <w:tcPr>
            <w:tcW w:w="0" w:type="auto"/>
            <w:vAlign w:val="center"/>
          </w:tcPr>
          <w:p w14:paraId="3AD5BCC4">
            <w:pPr>
              <w:spacing w:line="240" w:lineRule="auto"/>
              <w:ind w:firstLine="0" w:firstLineChars="0"/>
              <w:jc w:val="center"/>
              <w:rPr>
                <w:sz w:val="18"/>
                <w:szCs w:val="18"/>
                <w:lang w:eastAsia="en-US"/>
              </w:rPr>
            </w:pPr>
            <w:r>
              <w:rPr>
                <w:sz w:val="18"/>
                <w:szCs w:val="18"/>
                <w:lang w:eastAsia="en-US"/>
              </w:rPr>
              <w:t>1.76% (5.18%)</w:t>
            </w:r>
          </w:p>
        </w:tc>
      </w:tr>
      <w:tr w14:paraId="1825EE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C27CED1">
            <w:pPr>
              <w:spacing w:line="240" w:lineRule="auto"/>
              <w:ind w:firstLine="0" w:firstLineChars="0"/>
              <w:jc w:val="center"/>
              <w:rPr>
                <w:sz w:val="18"/>
                <w:szCs w:val="18"/>
                <w:lang w:eastAsia="en-US"/>
              </w:rPr>
            </w:pPr>
            <w:r>
              <w:rPr>
                <w:sz w:val="18"/>
                <w:szCs w:val="18"/>
                <w:lang w:eastAsia="en-US"/>
              </w:rPr>
              <w:t>时序歧义 Go 遗漏率</w:t>
            </w:r>
          </w:p>
        </w:tc>
        <w:tc>
          <w:tcPr>
            <w:tcW w:w="0" w:type="auto"/>
            <w:vAlign w:val="center"/>
          </w:tcPr>
          <w:p w14:paraId="1E361BC4">
            <w:pPr>
              <w:spacing w:line="240" w:lineRule="auto"/>
              <w:ind w:firstLine="0" w:firstLineChars="0"/>
              <w:jc w:val="center"/>
              <w:rPr>
                <w:sz w:val="18"/>
                <w:szCs w:val="18"/>
                <w:lang w:eastAsia="en-US"/>
              </w:rPr>
            </w:pPr>
            <w:r>
              <w:rPr>
                <w:sz w:val="18"/>
                <w:szCs w:val="18"/>
                <w:lang w:eastAsia="en-US"/>
              </w:rPr>
              <w:t>0.62% (1.21%)</w:t>
            </w:r>
          </w:p>
        </w:tc>
        <w:tc>
          <w:tcPr>
            <w:tcW w:w="0" w:type="auto"/>
            <w:vAlign w:val="center"/>
          </w:tcPr>
          <w:p w14:paraId="1CD40127">
            <w:pPr>
              <w:spacing w:line="240" w:lineRule="auto"/>
              <w:ind w:firstLine="0" w:firstLineChars="0"/>
              <w:jc w:val="center"/>
              <w:rPr>
                <w:sz w:val="18"/>
                <w:szCs w:val="18"/>
                <w:lang w:eastAsia="en-US"/>
              </w:rPr>
            </w:pPr>
            <w:r>
              <w:rPr>
                <w:sz w:val="18"/>
                <w:szCs w:val="18"/>
                <w:lang w:eastAsia="en-US"/>
              </w:rPr>
              <w:t>0.47% (1.03%)</w:t>
            </w:r>
          </w:p>
        </w:tc>
        <w:tc>
          <w:tcPr>
            <w:tcW w:w="0" w:type="auto"/>
            <w:vAlign w:val="center"/>
          </w:tcPr>
          <w:p w14:paraId="0C3CEB92">
            <w:pPr>
              <w:spacing w:line="240" w:lineRule="auto"/>
              <w:ind w:firstLine="0" w:firstLineChars="0"/>
              <w:jc w:val="center"/>
              <w:rPr>
                <w:sz w:val="18"/>
                <w:szCs w:val="18"/>
                <w:lang w:eastAsia="en-US"/>
              </w:rPr>
            </w:pPr>
            <w:r>
              <w:rPr>
                <w:sz w:val="18"/>
                <w:szCs w:val="18"/>
                <w:lang w:eastAsia="en-US"/>
              </w:rPr>
              <w:t>0.77% (1.56%)</w:t>
            </w:r>
          </w:p>
        </w:tc>
      </w:tr>
      <w:tr w14:paraId="78208E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23E292A">
            <w:pPr>
              <w:spacing w:line="240" w:lineRule="auto"/>
              <w:ind w:firstLine="0" w:firstLineChars="0"/>
              <w:jc w:val="center"/>
              <w:rPr>
                <w:sz w:val="18"/>
                <w:szCs w:val="18"/>
                <w:lang w:eastAsia="en-US"/>
              </w:rPr>
            </w:pPr>
            <w:r>
              <w:rPr>
                <w:sz w:val="18"/>
                <w:szCs w:val="18"/>
                <w:lang w:eastAsia="en-US"/>
              </w:rPr>
              <w:t>No-Go 误按率</w:t>
            </w:r>
          </w:p>
        </w:tc>
        <w:tc>
          <w:tcPr>
            <w:tcW w:w="0" w:type="auto"/>
            <w:vAlign w:val="center"/>
          </w:tcPr>
          <w:p w14:paraId="25BDE6BC">
            <w:pPr>
              <w:spacing w:line="240" w:lineRule="auto"/>
              <w:ind w:firstLine="0" w:firstLineChars="0"/>
              <w:jc w:val="center"/>
              <w:rPr>
                <w:sz w:val="18"/>
                <w:szCs w:val="18"/>
                <w:lang w:eastAsia="en-US"/>
              </w:rPr>
            </w:pPr>
            <w:r>
              <w:rPr>
                <w:sz w:val="18"/>
                <w:szCs w:val="18"/>
                <w:lang w:eastAsia="en-US"/>
              </w:rPr>
              <w:t>33.44% (18.02%)</w:t>
            </w:r>
          </w:p>
        </w:tc>
        <w:tc>
          <w:tcPr>
            <w:tcW w:w="0" w:type="auto"/>
            <w:vAlign w:val="center"/>
          </w:tcPr>
          <w:p w14:paraId="01496FCD">
            <w:pPr>
              <w:spacing w:line="240" w:lineRule="auto"/>
              <w:ind w:firstLine="0" w:firstLineChars="0"/>
              <w:jc w:val="center"/>
              <w:rPr>
                <w:sz w:val="18"/>
                <w:szCs w:val="18"/>
                <w:lang w:eastAsia="en-US"/>
              </w:rPr>
            </w:pPr>
            <w:r>
              <w:rPr>
                <w:sz w:val="18"/>
                <w:szCs w:val="18"/>
                <w:lang w:eastAsia="en-US"/>
              </w:rPr>
              <w:t>34.25% (19.58%)</w:t>
            </w:r>
          </w:p>
        </w:tc>
        <w:tc>
          <w:tcPr>
            <w:tcW w:w="0" w:type="auto"/>
            <w:vAlign w:val="center"/>
          </w:tcPr>
          <w:p w14:paraId="7952CA1C">
            <w:pPr>
              <w:spacing w:line="240" w:lineRule="auto"/>
              <w:ind w:firstLine="0" w:firstLineChars="0"/>
              <w:jc w:val="center"/>
              <w:rPr>
                <w:sz w:val="18"/>
                <w:szCs w:val="18"/>
                <w:lang w:eastAsia="en-US"/>
              </w:rPr>
            </w:pPr>
            <w:r>
              <w:rPr>
                <w:sz w:val="18"/>
                <w:szCs w:val="18"/>
                <w:lang w:eastAsia="en-US"/>
              </w:rPr>
              <w:t>32.63% (18.56%)</w:t>
            </w:r>
          </w:p>
        </w:tc>
      </w:tr>
      <w:tr w14:paraId="420EAB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140E8DFE">
            <w:pPr>
              <w:spacing w:line="240" w:lineRule="auto"/>
              <w:ind w:firstLine="0" w:firstLineChars="0"/>
              <w:jc w:val="center"/>
              <w:rPr>
                <w:sz w:val="18"/>
                <w:szCs w:val="18"/>
                <w:lang w:eastAsia="en-US"/>
              </w:rPr>
            </w:pPr>
            <w:r>
              <w:rPr>
                <w:sz w:val="18"/>
                <w:szCs w:val="18"/>
                <w:lang w:eastAsia="en-US"/>
              </w:rPr>
              <w:t>d′</w:t>
            </w:r>
          </w:p>
        </w:tc>
        <w:tc>
          <w:tcPr>
            <w:tcW w:w="0" w:type="auto"/>
            <w:vAlign w:val="center"/>
          </w:tcPr>
          <w:p w14:paraId="0D6A0897">
            <w:pPr>
              <w:spacing w:line="240" w:lineRule="auto"/>
              <w:ind w:firstLine="0" w:firstLineChars="0"/>
              <w:jc w:val="center"/>
              <w:rPr>
                <w:sz w:val="18"/>
                <w:szCs w:val="18"/>
                <w:lang w:eastAsia="en-US"/>
              </w:rPr>
            </w:pPr>
            <w:r>
              <w:rPr>
                <w:sz w:val="18"/>
                <w:szCs w:val="18"/>
                <w:lang w:eastAsia="en-US"/>
              </w:rPr>
              <w:t>2.93 (1.01)</w:t>
            </w:r>
          </w:p>
        </w:tc>
        <w:tc>
          <w:tcPr>
            <w:tcW w:w="0" w:type="auto"/>
            <w:vAlign w:val="center"/>
          </w:tcPr>
          <w:p w14:paraId="37D84EFD">
            <w:pPr>
              <w:spacing w:line="240" w:lineRule="auto"/>
              <w:ind w:firstLine="0" w:firstLineChars="0"/>
              <w:jc w:val="center"/>
              <w:rPr>
                <w:sz w:val="18"/>
                <w:szCs w:val="18"/>
                <w:lang w:eastAsia="en-US"/>
              </w:rPr>
            </w:pPr>
            <w:r>
              <w:rPr>
                <w:sz w:val="18"/>
                <w:szCs w:val="18"/>
                <w:lang w:eastAsia="en-US"/>
              </w:rPr>
              <w:t>2.91 (0.99)</w:t>
            </w:r>
          </w:p>
        </w:tc>
        <w:tc>
          <w:tcPr>
            <w:tcW w:w="0" w:type="auto"/>
            <w:vAlign w:val="center"/>
          </w:tcPr>
          <w:p w14:paraId="005B1A5A">
            <w:pPr>
              <w:spacing w:line="240" w:lineRule="auto"/>
              <w:ind w:firstLine="0" w:firstLineChars="0"/>
              <w:jc w:val="center"/>
              <w:rPr>
                <w:sz w:val="18"/>
                <w:szCs w:val="18"/>
                <w:lang w:eastAsia="en-US"/>
              </w:rPr>
            </w:pPr>
            <w:r>
              <w:rPr>
                <w:sz w:val="18"/>
                <w:szCs w:val="18"/>
                <w:lang w:eastAsia="en-US"/>
              </w:rPr>
              <w:t>2.88 (1.02)</w:t>
            </w:r>
          </w:p>
        </w:tc>
      </w:tr>
    </w:tbl>
    <w:p w14:paraId="4A8BB289">
      <w:pPr>
        <w:pStyle w:val="43"/>
        <w:ind w:firstLine="360"/>
        <w:jc w:val="left"/>
        <w:rPr>
          <w:sz w:val="18"/>
          <w:szCs w:val="18"/>
        </w:rPr>
      </w:pPr>
      <w:r>
        <w:rPr>
          <w:sz w:val="18"/>
          <w:szCs w:val="18"/>
        </w:rPr>
        <w:t>注：表中为场次级 M（SD），比例指标以百分数表示。总体列及 B1、B2 列均基于 116 个实验场次。</w:t>
      </w:r>
    </w:p>
    <w:p w14:paraId="478F8C1B">
      <w:pPr>
        <w:ind w:firstLine="0" w:firstLineChars="0"/>
        <w:rPr>
          <w:rFonts w:hint="eastAsia"/>
        </w:rPr>
      </w:pPr>
      <w:r>
        <w:drawing>
          <wp:inline distT="0" distB="0" distL="0" distR="0">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274310" cy="2309495"/>
                    </a:xfrm>
                    <a:prstGeom prst="rect">
                      <a:avLst/>
                    </a:prstGeom>
                    <a:noFill/>
                    <a:ln>
                      <a:noFill/>
                    </a:ln>
                  </pic:spPr>
                </pic:pic>
              </a:graphicData>
            </a:graphic>
          </wp:inline>
        </w:drawing>
      </w:r>
    </w:p>
    <w:p w14:paraId="307758A0">
      <w:pPr>
        <w:jc w:val="center"/>
      </w:pPr>
      <w:r>
        <w:rPr>
          <w:rFonts w:ascii="Times New Roman" w:hAnsi="Times New Roman" w:eastAsia="宋体"/>
          <w:b/>
          <w:sz w:val="21"/>
        </w:rPr>
        <w:t>图 13 RT-CV 的任务时间进程</w:t>
      </w:r>
    </w:p>
    <w:p w14:paraId="37B349D2">
      <w:pPr>
        <w:jc w:val="center"/>
      </w:pPr>
      <w:r>
        <w:rPr>
          <w:rFonts w:ascii="Times New Roman" w:hAnsi="Times New Roman" w:eastAsia="宋体"/>
          <w:b w:val="0"/>
          <w:sz w:val="18"/>
        </w:rPr>
        <w:t>注：A 为 B1/B2 的场次配对均值；B 为 Block×cycle 的 RT-CV 轨迹（误差线为 95% CI）。</w:t>
      </w:r>
    </w:p>
    <w:p w14:paraId="344B7150">
      <w:pPr>
        <w:pStyle w:val="5"/>
        <w:rPr>
          <w:rFonts w:hint="eastAsia"/>
          <w:bCs/>
        </w:rPr>
      </w:pPr>
      <w:r>
        <w:t xml:space="preserve">5.2.2 </w:t>
      </w:r>
      <w:r>
        <w:rPr>
          <w:bCs/>
        </w:rPr>
        <w:t>反应错误及其时序特征</w:t>
      </w:r>
    </w:p>
    <w:p w14:paraId="35715A53">
      <w:pPr>
        <w:ind w:firstLine="0" w:firstLineChars="0"/>
      </w:pPr>
      <w:r>
        <w:t>根据按键时序，Go 遗漏进一步分为真遗漏和预判遗漏。B1 与 B2 比较显示，总 Go 遗漏率和真遗漏率均未出现明确区块差异；预判遗漏率在 B2 中升高，Δ = 0.0030，95% CI [0.0011, 0.0052]。No-Go 误按率亦未出现明确区块差异。</w:t>
      </w:r>
    </w:p>
    <w:p w14:paraId="0CCF6598">
      <w:pPr>
        <w:ind w:firstLine="0" w:firstLineChars="0"/>
        <w:rPr>
          <w:rFonts w:hint="eastAsia"/>
        </w:rPr>
      </w:pPr>
      <w:r>
        <w:t>错误事件轨迹显示，Go omission 发生前第 3、2、1 个正确 Go 试次相对参与者自身基线分别延长 32.8、48.8 和 76.6 ms，遗漏后的首个正确 Go 反应则下降至 −38.3 ms。相比之下，No-Go commission 前后的平均 RT 偏移整体较小。完整事件数量、各相对位置的均值</w:t>
      </w:r>
      <w:commentRangeStart w:id="11"/>
      <w:r>
        <w:t>与 </w:t>
      </w:r>
      <w:r>
        <w:rPr>
          <w:i/>
          <w:iCs/>
        </w:rPr>
        <w:t>SEM</w:t>
      </w:r>
      <w:r>
        <w:t> 见附录 C。</w:t>
      </w:r>
      <w:commentRangeEnd w:id="11"/>
      <w:r>
        <w:rPr>
          <w:rStyle w:val="27"/>
        </w:rPr>
        <w:commentReference w:id="11"/>
      </w:r>
    </w:p>
    <w:p w14:paraId="40165893">
      <w:pPr>
        <w:pStyle w:val="5"/>
      </w:pPr>
      <w:r>
        <w:t>5.2.3 思维探针与近期行为</w:t>
      </w:r>
    </w:p>
    <w:p w14:paraId="3BE4D84E">
      <w:pPr>
        <w:ind w:firstLine="420"/>
      </w:pPr>
      <w:r>
        <w:t>116 个实验场次共获得 2,320 个思维探针记录，主分析采用探针前 30 s 行为窗口。Q1 的多项 Logistic 回归显示，No-Go 误按率每增加 1 个标准差，类别 2 和类别 3 相对于类别 1 的回归系数分别为 </w:t>
      </w:r>
      <w:r>
        <w:rPr>
          <w:i/>
          <w:iCs/>
        </w:rPr>
        <w:t>B</w:t>
      </w:r>
      <w:r>
        <w:t> = 0.598，95% CI [0.384, 0.812] 和 </w:t>
      </w:r>
      <w:r>
        <w:rPr>
          <w:i/>
          <w:iCs/>
        </w:rPr>
        <w:t>B</w:t>
      </w:r>
      <w:r>
        <w:t> = 0.729，95% CI [0.481, 0.976]；d′对应系数分别为 </w:t>
      </w:r>
      <w:r>
        <w:rPr>
          <w:i/>
          <w:iCs/>
        </w:rPr>
        <w:t>B</w:t>
      </w:r>
      <w:r>
        <w:t> = −0.448，95% CI [−0.700, −0.196] 和 </w:t>
      </w:r>
      <w:r>
        <w:rPr>
          <w:i/>
          <w:iCs/>
        </w:rPr>
        <w:t>B</w:t>
      </w:r>
      <w:r>
        <w:t> = −0.620，95% CI [−0.940, −0.300]。类别 4 与类别 1 的比较未呈现同样明确的关联。</w:t>
      </w:r>
    </w:p>
    <w:p w14:paraId="49FAB9D4">
      <w:pPr>
        <w:ind w:firstLine="420"/>
        <w:rPr>
          <w:rFonts w:hint="eastAsia"/>
        </w:rPr>
      </w:pPr>
      <w:r>
        <w:t>Q2 的有序 GEE 显示，No-Go 误按率（</w:t>
      </w:r>
      <w:r>
        <w:rPr>
          <w:i/>
          <w:iCs/>
        </w:rPr>
        <w:t>B</w:t>
      </w:r>
      <w:r>
        <w:t> = −0.299，95% CI [−0.397, −0.201]）、真遗漏率（</w:t>
      </w:r>
      <w:r>
        <w:rPr>
          <w:i/>
          <w:iCs/>
        </w:rPr>
        <w:t>B</w:t>
      </w:r>
      <w:r>
        <w:t> = −0.404，95% CI [−0.564, −0.244]）和 RT-CV（</w:t>
      </w:r>
      <w:r>
        <w:rPr>
          <w:i/>
          <w:iCs/>
        </w:rPr>
        <w:t>B</w:t>
      </w:r>
      <w:r>
        <w:t> = −0.232，95% CI [−0.340, −0.123]）与 Q2 等级呈负向关系，d′呈正向关系（</w:t>
      </w:r>
      <w:r>
        <w:rPr>
          <w:i/>
          <w:iCs/>
        </w:rPr>
        <w:t>B</w:t>
      </w:r>
      <w:r>
        <w:t> = 0.389，95% CI [0.287, 0.490]）。按当前编码方向，较高警觉等级对应较低的误按、遗漏和反应时变异，以及较高的辨别力。Q1/Q2 类别分布、完整模型样本量和补充结果见附录 C。</w:t>
      </w:r>
    </w:p>
    <w:p w14:paraId="4CE1D01E">
      <w:pPr>
        <w:pStyle w:val="11"/>
        <w:keepNext/>
        <w:rPr>
          <w:lang w:eastAsia="zh-CN"/>
        </w:rPr>
      </w:pPr>
      <w:r>
        <w:rPr>
          <w:rFonts w:hint="eastAsia"/>
          <w:lang w:eastAsia="zh-CN"/>
        </w:rPr>
        <w:t xml:space="preserve">表 </w:t>
      </w:r>
      <w:r>
        <w:fldChar w:fldCharType="begin"/>
      </w:r>
      <w:r>
        <w:rPr>
          <w:lang w:eastAsia="zh-CN"/>
        </w:rPr>
        <w:instrText xml:space="preserve"> </w:instrText>
      </w:r>
      <w:r>
        <w:rPr>
          <w:rFonts w:hint="eastAsia"/>
          <w:lang w:eastAsia="zh-CN"/>
        </w:rPr>
        <w:instrText xml:space="preserve">SEQ 表 \* ARABIC</w:instrText>
      </w:r>
      <w:r>
        <w:rPr>
          <w:lang w:eastAsia="zh-CN"/>
        </w:rPr>
        <w:instrText xml:space="preserve"> </w:instrText>
      </w:r>
      <w:r>
        <w:fldChar w:fldCharType="separate"/>
      </w:r>
      <w:r>
        <w:rPr>
          <w:lang w:eastAsia="zh-CN"/>
        </w:rPr>
        <w:t>5</w:t>
      </w:r>
      <w:r>
        <w:fldChar w:fldCharType="end"/>
      </w:r>
      <w:r>
        <w:rPr>
          <w:rFonts w:hint="eastAsia"/>
          <w:lang w:eastAsia="zh-CN"/>
        </w:rPr>
        <w:t xml:space="preserve"> 思维探针 Q1 与 Q2 的分布</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5"/>
        <w:gridCol w:w="4169"/>
        <w:gridCol w:w="621"/>
        <w:gridCol w:w="681"/>
      </w:tblGrid>
      <w:tr w14:paraId="6AF23E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tcBorders>
              <w:top w:val="single" w:color="auto" w:sz="12" w:space="0"/>
              <w:left w:val="nil"/>
              <w:bottom w:val="single" w:color="auto" w:sz="6" w:space="0"/>
              <w:right w:val="nil"/>
              <w:insideV w:val="nil"/>
            </w:tcBorders>
            <w:vAlign w:val="center"/>
          </w:tcPr>
          <w:p w14:paraId="1E78A11D">
            <w:pPr>
              <w:spacing w:line="240" w:lineRule="auto"/>
              <w:ind w:firstLine="0" w:firstLineChars="0"/>
              <w:jc w:val="center"/>
              <w:rPr>
                <w:rFonts w:hint="eastAsia"/>
                <w:b/>
                <w:bCs/>
                <w:sz w:val="18"/>
                <w:szCs w:val="18"/>
                <w:lang w:eastAsia="zh-CN"/>
              </w:rPr>
            </w:pPr>
            <w:r>
              <w:rPr>
                <w:b/>
                <w:bCs/>
                <w:sz w:val="18"/>
                <w:szCs w:val="18"/>
                <w:lang w:eastAsia="en-US"/>
              </w:rPr>
              <w:t>探针</w:t>
            </w:r>
          </w:p>
        </w:tc>
        <w:tc>
          <w:tcPr>
            <w:tcW w:w="4169" w:type="dxa"/>
            <w:tcBorders>
              <w:top w:val="single" w:color="auto" w:sz="12" w:space="0"/>
              <w:bottom w:val="single" w:color="auto" w:sz="6" w:space="0"/>
              <w:right w:val="nil"/>
              <w:insideV w:val="nil"/>
            </w:tcBorders>
            <w:vAlign w:val="center"/>
          </w:tcPr>
          <w:p w14:paraId="14C994DB">
            <w:pPr>
              <w:spacing w:line="240" w:lineRule="auto"/>
              <w:ind w:firstLine="0" w:firstLineChars="0"/>
              <w:jc w:val="center"/>
              <w:rPr>
                <w:b/>
                <w:bCs/>
                <w:sz w:val="18"/>
                <w:szCs w:val="18"/>
                <w:lang w:eastAsia="en-US"/>
              </w:rPr>
            </w:pPr>
            <w:r>
              <w:rPr>
                <w:rFonts w:hint="eastAsia"/>
                <w:b/>
                <w:bCs/>
                <w:sz w:val="18"/>
                <w:szCs w:val="18"/>
                <w:lang w:eastAsia="zh-CN"/>
              </w:rPr>
              <w:t>选项</w:t>
            </w:r>
          </w:p>
        </w:tc>
        <w:tc>
          <w:tcPr>
            <w:tcW w:w="0" w:type="auto"/>
            <w:tcBorders>
              <w:top w:val="single" w:color="auto" w:sz="12" w:space="0"/>
              <w:bottom w:val="single" w:color="auto" w:sz="6" w:space="0"/>
              <w:right w:val="nil"/>
              <w:insideV w:val="nil"/>
            </w:tcBorders>
            <w:vAlign w:val="center"/>
          </w:tcPr>
          <w:p w14:paraId="146040D5">
            <w:pPr>
              <w:spacing w:line="240" w:lineRule="auto"/>
              <w:ind w:firstLine="0" w:firstLineChars="0"/>
              <w:jc w:val="center"/>
              <w:rPr>
                <w:b/>
                <w:bCs/>
                <w:sz w:val="18"/>
                <w:szCs w:val="18"/>
                <w:lang w:eastAsia="en-US"/>
              </w:rPr>
            </w:pPr>
            <w:r>
              <w:rPr>
                <w:b/>
                <w:bCs/>
                <w:sz w:val="18"/>
                <w:szCs w:val="18"/>
                <w:lang w:eastAsia="en-US"/>
              </w:rPr>
              <w:t>n</w:t>
            </w:r>
          </w:p>
        </w:tc>
        <w:tc>
          <w:tcPr>
            <w:tcW w:w="0" w:type="auto"/>
            <w:tcBorders>
              <w:top w:val="single" w:color="auto" w:sz="12" w:space="0"/>
              <w:bottom w:val="single" w:color="auto" w:sz="6" w:space="0"/>
              <w:right w:val="nil"/>
              <w:insideV w:val="nil"/>
            </w:tcBorders>
            <w:vAlign w:val="center"/>
          </w:tcPr>
          <w:p w14:paraId="4BA3EE1A">
            <w:pPr>
              <w:spacing w:line="240" w:lineRule="auto"/>
              <w:ind w:firstLine="0" w:firstLineChars="0"/>
              <w:jc w:val="center"/>
              <w:rPr>
                <w:b/>
                <w:bCs/>
                <w:sz w:val="18"/>
                <w:szCs w:val="18"/>
                <w:lang w:eastAsia="en-US"/>
              </w:rPr>
            </w:pPr>
            <w:r>
              <w:rPr>
                <w:b/>
                <w:bCs/>
                <w:sz w:val="18"/>
                <w:szCs w:val="18"/>
                <w:lang w:eastAsia="en-US"/>
              </w:rPr>
              <w:t>比例</w:t>
            </w:r>
          </w:p>
        </w:tc>
      </w:tr>
      <w:tr w14:paraId="535B0F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6A646289">
            <w:pPr>
              <w:spacing w:line="240" w:lineRule="auto"/>
              <w:ind w:firstLine="0" w:firstLineChars="0"/>
              <w:jc w:val="center"/>
              <w:rPr>
                <w:rFonts w:hint="eastAsia"/>
                <w:sz w:val="18"/>
                <w:szCs w:val="18"/>
                <w:lang w:eastAsia="zh-CN"/>
              </w:rPr>
            </w:pPr>
            <w:r>
              <w:rPr>
                <w:sz w:val="18"/>
                <w:szCs w:val="18"/>
                <w:lang w:eastAsia="zh-CN"/>
              </w:rPr>
              <w:t>Q1</w:t>
            </w:r>
            <w:r>
              <w:rPr>
                <w:rFonts w:hint="eastAsia"/>
                <w:sz w:val="18"/>
                <w:szCs w:val="18"/>
                <w:lang w:eastAsia="zh-CN"/>
              </w:rPr>
              <w:t xml:space="preserve"> </w:t>
            </w:r>
            <w:r>
              <w:rPr>
                <w:sz w:val="18"/>
                <w:szCs w:val="18"/>
                <w:lang w:eastAsia="zh-CN"/>
              </w:rPr>
              <w:t>此画面出现前一刻，最符合您状态的是</w:t>
            </w:r>
          </w:p>
        </w:tc>
        <w:tc>
          <w:tcPr>
            <w:tcW w:w="4169" w:type="dxa"/>
            <w:vAlign w:val="center"/>
          </w:tcPr>
          <w:p w14:paraId="2824FF35">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完全专注于分拣任务</w:t>
            </w:r>
          </w:p>
        </w:tc>
        <w:tc>
          <w:tcPr>
            <w:tcW w:w="0" w:type="auto"/>
            <w:vAlign w:val="center"/>
          </w:tcPr>
          <w:p w14:paraId="2E5F5B23">
            <w:pPr>
              <w:spacing w:line="240" w:lineRule="auto"/>
              <w:ind w:firstLine="0" w:firstLineChars="0"/>
              <w:jc w:val="center"/>
              <w:rPr>
                <w:sz w:val="18"/>
                <w:szCs w:val="18"/>
                <w:lang w:eastAsia="en-US"/>
              </w:rPr>
            </w:pPr>
            <w:r>
              <w:rPr>
                <w:sz w:val="18"/>
                <w:szCs w:val="18"/>
                <w:lang w:eastAsia="en-US"/>
              </w:rPr>
              <w:t>1,594</w:t>
            </w:r>
          </w:p>
        </w:tc>
        <w:tc>
          <w:tcPr>
            <w:tcW w:w="0" w:type="auto"/>
            <w:vAlign w:val="center"/>
          </w:tcPr>
          <w:p w14:paraId="1B38211D">
            <w:pPr>
              <w:spacing w:line="240" w:lineRule="auto"/>
              <w:ind w:firstLine="0" w:firstLineChars="0"/>
              <w:jc w:val="center"/>
              <w:rPr>
                <w:sz w:val="18"/>
                <w:szCs w:val="18"/>
                <w:lang w:eastAsia="en-US"/>
              </w:rPr>
            </w:pPr>
            <w:r>
              <w:rPr>
                <w:sz w:val="18"/>
                <w:szCs w:val="18"/>
                <w:lang w:eastAsia="en-US"/>
              </w:rPr>
              <w:t>68.7%</w:t>
            </w:r>
          </w:p>
        </w:tc>
      </w:tr>
      <w:tr w14:paraId="503FB7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6769DEC4">
            <w:pPr>
              <w:spacing w:line="240" w:lineRule="auto"/>
              <w:ind w:firstLine="360"/>
              <w:jc w:val="center"/>
              <w:rPr>
                <w:sz w:val="18"/>
                <w:szCs w:val="18"/>
                <w:lang w:eastAsia="en-US"/>
              </w:rPr>
            </w:pPr>
          </w:p>
        </w:tc>
        <w:tc>
          <w:tcPr>
            <w:tcW w:w="4169" w:type="dxa"/>
            <w:vAlign w:val="center"/>
          </w:tcPr>
          <w:p w14:paraId="6393FFEF">
            <w:pPr>
              <w:spacing w:line="240" w:lineRule="auto"/>
              <w:ind w:firstLine="0" w:firstLineChars="0"/>
              <w:jc w:val="center"/>
              <w:rPr>
                <w:rFonts w:hint="eastAsia"/>
                <w:sz w:val="18"/>
                <w:szCs w:val="18"/>
                <w:lang w:eastAsia="zh-CN"/>
              </w:rPr>
            </w:pPr>
            <w:r>
              <w:rPr>
                <w:sz w:val="18"/>
                <w:szCs w:val="18"/>
                <w:lang w:eastAsia="zh-CN"/>
              </w:rPr>
              <w:t>2</w:t>
            </w:r>
            <w:r>
              <w:rPr>
                <w:rFonts w:hint="eastAsia"/>
                <w:sz w:val="18"/>
                <w:szCs w:val="18"/>
                <w:lang w:eastAsia="zh-CN"/>
              </w:rPr>
              <w:t xml:space="preserve"> </w:t>
            </w:r>
            <w:r>
              <w:rPr>
                <w:sz w:val="18"/>
                <w:szCs w:val="18"/>
                <w:lang w:eastAsia="zh-CN"/>
              </w:rPr>
              <w:t>关注实验本身，但没有聚焦于分拣任务</w:t>
            </w:r>
          </w:p>
        </w:tc>
        <w:tc>
          <w:tcPr>
            <w:tcW w:w="0" w:type="auto"/>
            <w:vAlign w:val="center"/>
          </w:tcPr>
          <w:p w14:paraId="3FCE61E5">
            <w:pPr>
              <w:spacing w:line="240" w:lineRule="auto"/>
              <w:ind w:firstLine="0" w:firstLineChars="0"/>
              <w:jc w:val="center"/>
              <w:rPr>
                <w:sz w:val="18"/>
                <w:szCs w:val="18"/>
                <w:lang w:eastAsia="en-US"/>
              </w:rPr>
            </w:pPr>
            <w:r>
              <w:rPr>
                <w:sz w:val="18"/>
                <w:szCs w:val="18"/>
                <w:lang w:eastAsia="en-US"/>
              </w:rPr>
              <w:t>467</w:t>
            </w:r>
          </w:p>
        </w:tc>
        <w:tc>
          <w:tcPr>
            <w:tcW w:w="0" w:type="auto"/>
            <w:vAlign w:val="center"/>
          </w:tcPr>
          <w:p w14:paraId="6B8E6182">
            <w:pPr>
              <w:spacing w:line="240" w:lineRule="auto"/>
              <w:ind w:firstLine="0" w:firstLineChars="0"/>
              <w:jc w:val="center"/>
              <w:rPr>
                <w:sz w:val="18"/>
                <w:szCs w:val="18"/>
                <w:lang w:eastAsia="en-US"/>
              </w:rPr>
            </w:pPr>
            <w:r>
              <w:rPr>
                <w:sz w:val="18"/>
                <w:szCs w:val="18"/>
                <w:lang w:eastAsia="en-US"/>
              </w:rPr>
              <w:t>20.1%</w:t>
            </w:r>
          </w:p>
        </w:tc>
      </w:tr>
      <w:tr w14:paraId="7FFD3AF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77C26BE">
            <w:pPr>
              <w:spacing w:line="240" w:lineRule="auto"/>
              <w:ind w:firstLine="360"/>
              <w:jc w:val="center"/>
              <w:rPr>
                <w:sz w:val="18"/>
                <w:szCs w:val="18"/>
                <w:lang w:eastAsia="en-US"/>
              </w:rPr>
            </w:pPr>
          </w:p>
        </w:tc>
        <w:tc>
          <w:tcPr>
            <w:tcW w:w="4169" w:type="dxa"/>
            <w:vAlign w:val="center"/>
          </w:tcPr>
          <w:p w14:paraId="30E721FD">
            <w:pPr>
              <w:spacing w:line="240" w:lineRule="auto"/>
              <w:ind w:firstLine="0" w:firstLineChars="0"/>
              <w:jc w:val="center"/>
              <w:rPr>
                <w:rFonts w:hint="eastAsia"/>
                <w:sz w:val="18"/>
                <w:szCs w:val="18"/>
                <w:lang w:eastAsia="zh-CN"/>
              </w:rPr>
            </w:pPr>
            <w:r>
              <w:rPr>
                <w:sz w:val="18"/>
                <w:szCs w:val="18"/>
                <w:lang w:eastAsia="zh-CN"/>
              </w:rPr>
              <w:t>3</w:t>
            </w:r>
            <w:r>
              <w:rPr>
                <w:rFonts w:hint="eastAsia"/>
                <w:sz w:val="18"/>
                <w:szCs w:val="18"/>
                <w:lang w:eastAsia="zh-CN"/>
              </w:rPr>
              <w:t xml:space="preserve"> </w:t>
            </w:r>
            <w:r>
              <w:rPr>
                <w:sz w:val="18"/>
                <w:szCs w:val="18"/>
                <w:lang w:eastAsia="zh-CN"/>
              </w:rPr>
              <w:t>在想与实验无关的事情</w:t>
            </w:r>
          </w:p>
        </w:tc>
        <w:tc>
          <w:tcPr>
            <w:tcW w:w="0" w:type="auto"/>
            <w:vAlign w:val="center"/>
          </w:tcPr>
          <w:p w14:paraId="2E0FAE05">
            <w:pPr>
              <w:spacing w:line="240" w:lineRule="auto"/>
              <w:ind w:firstLine="0" w:firstLineChars="0"/>
              <w:jc w:val="center"/>
              <w:rPr>
                <w:sz w:val="18"/>
                <w:szCs w:val="18"/>
                <w:lang w:eastAsia="en-US"/>
              </w:rPr>
            </w:pPr>
            <w:r>
              <w:rPr>
                <w:sz w:val="18"/>
                <w:szCs w:val="18"/>
                <w:lang w:eastAsia="en-US"/>
              </w:rPr>
              <w:t>95</w:t>
            </w:r>
          </w:p>
        </w:tc>
        <w:tc>
          <w:tcPr>
            <w:tcW w:w="0" w:type="auto"/>
            <w:vAlign w:val="center"/>
          </w:tcPr>
          <w:p w14:paraId="2A93B7C1">
            <w:pPr>
              <w:spacing w:line="240" w:lineRule="auto"/>
              <w:ind w:firstLine="0" w:firstLineChars="0"/>
              <w:jc w:val="center"/>
              <w:rPr>
                <w:sz w:val="18"/>
                <w:szCs w:val="18"/>
                <w:lang w:eastAsia="en-US"/>
              </w:rPr>
            </w:pPr>
            <w:r>
              <w:rPr>
                <w:sz w:val="18"/>
                <w:szCs w:val="18"/>
                <w:lang w:eastAsia="en-US"/>
              </w:rPr>
              <w:t>4.1%</w:t>
            </w:r>
          </w:p>
        </w:tc>
      </w:tr>
      <w:tr w14:paraId="56FFFE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0CBACA9">
            <w:pPr>
              <w:spacing w:line="240" w:lineRule="auto"/>
              <w:ind w:firstLine="0" w:firstLineChars="0"/>
              <w:jc w:val="center"/>
              <w:rPr>
                <w:sz w:val="18"/>
                <w:szCs w:val="18"/>
                <w:lang w:eastAsia="en-US"/>
              </w:rPr>
            </w:pPr>
          </w:p>
        </w:tc>
        <w:tc>
          <w:tcPr>
            <w:tcW w:w="4169" w:type="dxa"/>
            <w:vAlign w:val="center"/>
          </w:tcPr>
          <w:p w14:paraId="10AB995A">
            <w:pPr>
              <w:spacing w:line="240" w:lineRule="auto"/>
              <w:ind w:firstLine="0" w:firstLineChars="0"/>
              <w:jc w:val="center"/>
              <w:rPr>
                <w:rFonts w:hint="eastAsia"/>
                <w:sz w:val="18"/>
                <w:szCs w:val="18"/>
                <w:lang w:eastAsia="zh-CN"/>
              </w:rPr>
            </w:pPr>
            <w:r>
              <w:rPr>
                <w:sz w:val="18"/>
                <w:szCs w:val="18"/>
                <w:lang w:eastAsia="zh-CN"/>
              </w:rPr>
              <w:t>4</w:t>
            </w:r>
            <w:r>
              <w:rPr>
                <w:rFonts w:hint="eastAsia"/>
                <w:sz w:val="18"/>
                <w:szCs w:val="18"/>
                <w:lang w:eastAsia="zh-CN"/>
              </w:rPr>
              <w:t xml:space="preserve"> </w:t>
            </w:r>
            <w:r>
              <w:rPr>
                <w:sz w:val="18"/>
                <w:szCs w:val="18"/>
                <w:lang w:eastAsia="zh-CN"/>
              </w:rPr>
              <w:t>大脑空白，没有明确想法</w:t>
            </w:r>
          </w:p>
        </w:tc>
        <w:tc>
          <w:tcPr>
            <w:tcW w:w="0" w:type="auto"/>
            <w:vAlign w:val="center"/>
          </w:tcPr>
          <w:p w14:paraId="2226CFE3">
            <w:pPr>
              <w:spacing w:line="240" w:lineRule="auto"/>
              <w:ind w:firstLine="0" w:firstLineChars="0"/>
              <w:jc w:val="center"/>
              <w:rPr>
                <w:sz w:val="18"/>
                <w:szCs w:val="18"/>
                <w:lang w:eastAsia="en-US"/>
              </w:rPr>
            </w:pPr>
            <w:r>
              <w:rPr>
                <w:sz w:val="18"/>
                <w:szCs w:val="18"/>
                <w:lang w:eastAsia="en-US"/>
              </w:rPr>
              <w:t>164</w:t>
            </w:r>
          </w:p>
        </w:tc>
        <w:tc>
          <w:tcPr>
            <w:tcW w:w="0" w:type="auto"/>
            <w:vAlign w:val="center"/>
          </w:tcPr>
          <w:p w14:paraId="4602082A">
            <w:pPr>
              <w:spacing w:line="240" w:lineRule="auto"/>
              <w:ind w:firstLine="0" w:firstLineChars="0"/>
              <w:jc w:val="center"/>
              <w:rPr>
                <w:sz w:val="18"/>
                <w:szCs w:val="18"/>
                <w:lang w:eastAsia="en-US"/>
              </w:rPr>
            </w:pPr>
            <w:r>
              <w:rPr>
                <w:sz w:val="18"/>
                <w:szCs w:val="18"/>
                <w:lang w:eastAsia="en-US"/>
              </w:rPr>
              <w:t>7.1%</w:t>
            </w:r>
          </w:p>
        </w:tc>
      </w:tr>
      <w:tr w14:paraId="2DB886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35DE4275">
            <w:pPr>
              <w:spacing w:line="240" w:lineRule="auto"/>
              <w:ind w:firstLine="0" w:firstLineChars="0"/>
              <w:jc w:val="center"/>
              <w:rPr>
                <w:rFonts w:hint="eastAsia"/>
                <w:sz w:val="18"/>
                <w:szCs w:val="18"/>
                <w:lang w:eastAsia="zh-CN"/>
              </w:rPr>
            </w:pPr>
            <w:r>
              <w:rPr>
                <w:sz w:val="18"/>
                <w:szCs w:val="18"/>
                <w:lang w:eastAsia="zh-CN"/>
              </w:rPr>
              <w:t>Q2</w:t>
            </w:r>
            <w:r>
              <w:rPr>
                <w:rFonts w:hint="eastAsia"/>
                <w:sz w:val="18"/>
                <w:szCs w:val="18"/>
                <w:lang w:eastAsia="zh-CN"/>
              </w:rPr>
              <w:t xml:space="preserve"> </w:t>
            </w:r>
            <w:r>
              <w:rPr>
                <w:sz w:val="18"/>
                <w:szCs w:val="18"/>
                <w:lang w:eastAsia="zh-CN"/>
              </w:rPr>
              <w:t>在过去的几个试次中，您的清醒程度是</w:t>
            </w:r>
          </w:p>
        </w:tc>
        <w:tc>
          <w:tcPr>
            <w:tcW w:w="4169" w:type="dxa"/>
            <w:vAlign w:val="center"/>
          </w:tcPr>
          <w:p w14:paraId="2AA84963">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非常困倦</w:t>
            </w:r>
          </w:p>
        </w:tc>
        <w:tc>
          <w:tcPr>
            <w:tcW w:w="0" w:type="auto"/>
            <w:vAlign w:val="center"/>
          </w:tcPr>
          <w:p w14:paraId="15142E5D">
            <w:pPr>
              <w:spacing w:line="240" w:lineRule="auto"/>
              <w:ind w:firstLine="0" w:firstLineChars="0"/>
              <w:jc w:val="center"/>
              <w:rPr>
                <w:sz w:val="18"/>
                <w:szCs w:val="18"/>
                <w:lang w:eastAsia="en-US"/>
              </w:rPr>
            </w:pPr>
            <w:r>
              <w:rPr>
                <w:sz w:val="18"/>
                <w:szCs w:val="18"/>
                <w:lang w:eastAsia="en-US"/>
              </w:rPr>
              <w:t>39</w:t>
            </w:r>
          </w:p>
        </w:tc>
        <w:tc>
          <w:tcPr>
            <w:tcW w:w="0" w:type="auto"/>
            <w:vAlign w:val="center"/>
          </w:tcPr>
          <w:p w14:paraId="42435FA1">
            <w:pPr>
              <w:spacing w:line="240" w:lineRule="auto"/>
              <w:ind w:firstLine="0" w:firstLineChars="0"/>
              <w:jc w:val="center"/>
              <w:rPr>
                <w:sz w:val="18"/>
                <w:szCs w:val="18"/>
                <w:lang w:eastAsia="en-US"/>
              </w:rPr>
            </w:pPr>
            <w:r>
              <w:rPr>
                <w:sz w:val="18"/>
                <w:szCs w:val="18"/>
                <w:lang w:eastAsia="en-US"/>
              </w:rPr>
              <w:t>1.7%</w:t>
            </w:r>
          </w:p>
        </w:tc>
      </w:tr>
      <w:tr w14:paraId="7E9FFC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1AFA4230">
            <w:pPr>
              <w:spacing w:line="240" w:lineRule="auto"/>
              <w:ind w:firstLine="360"/>
              <w:jc w:val="center"/>
              <w:rPr>
                <w:sz w:val="18"/>
                <w:szCs w:val="18"/>
                <w:lang w:eastAsia="en-US"/>
              </w:rPr>
            </w:pPr>
          </w:p>
        </w:tc>
        <w:tc>
          <w:tcPr>
            <w:tcW w:w="4169" w:type="dxa"/>
            <w:vAlign w:val="center"/>
          </w:tcPr>
          <w:p w14:paraId="0DC9F326">
            <w:pPr>
              <w:spacing w:line="240" w:lineRule="auto"/>
              <w:ind w:firstLine="0" w:firstLineChars="0"/>
              <w:jc w:val="center"/>
              <w:rPr>
                <w:rFonts w:hint="eastAsia"/>
                <w:sz w:val="18"/>
                <w:szCs w:val="18"/>
                <w:lang w:eastAsia="zh-CN"/>
              </w:rPr>
            </w:pPr>
            <w:r>
              <w:rPr>
                <w:sz w:val="18"/>
                <w:szCs w:val="18"/>
                <w:lang w:eastAsia="en-US"/>
              </w:rPr>
              <w:t>2</w:t>
            </w:r>
            <w:r>
              <w:rPr>
                <w:rFonts w:hint="eastAsia"/>
                <w:sz w:val="18"/>
                <w:szCs w:val="18"/>
                <w:lang w:eastAsia="zh-CN"/>
              </w:rPr>
              <w:t xml:space="preserve"> </w:t>
            </w:r>
            <w:r>
              <w:rPr>
                <w:sz w:val="18"/>
                <w:szCs w:val="18"/>
                <w:lang w:eastAsia="zh-CN"/>
              </w:rPr>
              <w:t>比较困倦</w:t>
            </w:r>
          </w:p>
        </w:tc>
        <w:tc>
          <w:tcPr>
            <w:tcW w:w="0" w:type="auto"/>
            <w:vAlign w:val="center"/>
          </w:tcPr>
          <w:p w14:paraId="1781A5C4">
            <w:pPr>
              <w:spacing w:line="240" w:lineRule="auto"/>
              <w:ind w:firstLine="0" w:firstLineChars="0"/>
              <w:jc w:val="center"/>
              <w:rPr>
                <w:sz w:val="18"/>
                <w:szCs w:val="18"/>
                <w:lang w:eastAsia="en-US"/>
              </w:rPr>
            </w:pPr>
            <w:r>
              <w:rPr>
                <w:sz w:val="18"/>
                <w:szCs w:val="18"/>
                <w:lang w:eastAsia="en-US"/>
              </w:rPr>
              <w:t>334</w:t>
            </w:r>
          </w:p>
        </w:tc>
        <w:tc>
          <w:tcPr>
            <w:tcW w:w="0" w:type="auto"/>
            <w:vAlign w:val="center"/>
          </w:tcPr>
          <w:p w14:paraId="63C10314">
            <w:pPr>
              <w:spacing w:line="240" w:lineRule="auto"/>
              <w:ind w:firstLine="0" w:firstLineChars="0"/>
              <w:jc w:val="center"/>
              <w:rPr>
                <w:sz w:val="18"/>
                <w:szCs w:val="18"/>
                <w:lang w:eastAsia="en-US"/>
              </w:rPr>
            </w:pPr>
            <w:r>
              <w:rPr>
                <w:sz w:val="18"/>
                <w:szCs w:val="18"/>
                <w:lang w:eastAsia="en-US"/>
              </w:rPr>
              <w:t>14.4%</w:t>
            </w:r>
          </w:p>
        </w:tc>
      </w:tr>
      <w:tr w14:paraId="78B613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5AB6975D">
            <w:pPr>
              <w:spacing w:line="240" w:lineRule="auto"/>
              <w:ind w:firstLine="360"/>
              <w:jc w:val="center"/>
              <w:rPr>
                <w:sz w:val="18"/>
                <w:szCs w:val="18"/>
                <w:lang w:eastAsia="en-US"/>
              </w:rPr>
            </w:pPr>
          </w:p>
        </w:tc>
        <w:tc>
          <w:tcPr>
            <w:tcW w:w="4169" w:type="dxa"/>
            <w:vAlign w:val="center"/>
          </w:tcPr>
          <w:p w14:paraId="29D9BC74">
            <w:pPr>
              <w:spacing w:line="240" w:lineRule="auto"/>
              <w:ind w:firstLine="0" w:firstLineChars="0"/>
              <w:jc w:val="center"/>
              <w:rPr>
                <w:rFonts w:hint="eastAsia"/>
                <w:sz w:val="18"/>
                <w:szCs w:val="18"/>
                <w:lang w:eastAsia="zh-CN"/>
              </w:rPr>
            </w:pPr>
            <w:r>
              <w:rPr>
                <w:sz w:val="18"/>
                <w:szCs w:val="18"/>
                <w:lang w:eastAsia="en-US"/>
              </w:rPr>
              <w:t>3</w:t>
            </w:r>
            <w:r>
              <w:rPr>
                <w:rFonts w:hint="eastAsia"/>
                <w:sz w:val="18"/>
                <w:szCs w:val="18"/>
                <w:lang w:eastAsia="zh-CN"/>
              </w:rPr>
              <w:t xml:space="preserve"> </w:t>
            </w:r>
            <w:r>
              <w:rPr>
                <w:sz w:val="18"/>
                <w:szCs w:val="18"/>
                <w:lang w:eastAsia="zh-CN"/>
              </w:rPr>
              <w:t>比较清醒</w:t>
            </w:r>
          </w:p>
        </w:tc>
        <w:tc>
          <w:tcPr>
            <w:tcW w:w="0" w:type="auto"/>
            <w:vAlign w:val="center"/>
          </w:tcPr>
          <w:p w14:paraId="211F76AC">
            <w:pPr>
              <w:spacing w:line="240" w:lineRule="auto"/>
              <w:ind w:firstLine="0" w:firstLineChars="0"/>
              <w:jc w:val="center"/>
              <w:rPr>
                <w:sz w:val="18"/>
                <w:szCs w:val="18"/>
                <w:lang w:eastAsia="en-US"/>
              </w:rPr>
            </w:pPr>
            <w:r>
              <w:rPr>
                <w:sz w:val="18"/>
                <w:szCs w:val="18"/>
                <w:lang w:eastAsia="en-US"/>
              </w:rPr>
              <w:t>1,054</w:t>
            </w:r>
          </w:p>
        </w:tc>
        <w:tc>
          <w:tcPr>
            <w:tcW w:w="0" w:type="auto"/>
            <w:vAlign w:val="center"/>
          </w:tcPr>
          <w:p w14:paraId="4F1877BB">
            <w:pPr>
              <w:spacing w:line="240" w:lineRule="auto"/>
              <w:ind w:firstLine="0" w:firstLineChars="0"/>
              <w:jc w:val="center"/>
              <w:rPr>
                <w:sz w:val="18"/>
                <w:szCs w:val="18"/>
                <w:lang w:eastAsia="en-US"/>
              </w:rPr>
            </w:pPr>
            <w:r>
              <w:rPr>
                <w:sz w:val="18"/>
                <w:szCs w:val="18"/>
                <w:lang w:eastAsia="en-US"/>
              </w:rPr>
              <w:t>45.4%</w:t>
            </w:r>
          </w:p>
        </w:tc>
      </w:tr>
      <w:tr w14:paraId="336A7A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7C0B9CA9">
            <w:pPr>
              <w:spacing w:line="240" w:lineRule="auto"/>
              <w:ind w:firstLine="0" w:firstLineChars="0"/>
              <w:jc w:val="center"/>
              <w:rPr>
                <w:sz w:val="18"/>
                <w:szCs w:val="18"/>
                <w:lang w:eastAsia="en-US"/>
              </w:rPr>
            </w:pPr>
          </w:p>
        </w:tc>
        <w:tc>
          <w:tcPr>
            <w:tcW w:w="4169" w:type="dxa"/>
            <w:vAlign w:val="center"/>
          </w:tcPr>
          <w:p w14:paraId="6485F973">
            <w:pPr>
              <w:spacing w:line="240" w:lineRule="auto"/>
              <w:ind w:firstLine="0" w:firstLineChars="0"/>
              <w:jc w:val="center"/>
              <w:rPr>
                <w:rFonts w:hint="eastAsia"/>
                <w:sz w:val="18"/>
                <w:szCs w:val="18"/>
                <w:lang w:eastAsia="zh-CN"/>
              </w:rPr>
            </w:pPr>
            <w:r>
              <w:rPr>
                <w:sz w:val="18"/>
                <w:szCs w:val="18"/>
                <w:lang w:eastAsia="en-US"/>
              </w:rPr>
              <w:t>4</w:t>
            </w:r>
            <w:r>
              <w:rPr>
                <w:rFonts w:hint="eastAsia"/>
                <w:sz w:val="18"/>
                <w:szCs w:val="18"/>
                <w:lang w:eastAsia="zh-CN"/>
              </w:rPr>
              <w:t xml:space="preserve"> </w:t>
            </w:r>
            <w:r>
              <w:rPr>
                <w:sz w:val="18"/>
                <w:szCs w:val="18"/>
                <w:lang w:eastAsia="zh-CN"/>
              </w:rPr>
              <w:t>非常清醒</w:t>
            </w:r>
          </w:p>
        </w:tc>
        <w:tc>
          <w:tcPr>
            <w:tcW w:w="0" w:type="auto"/>
            <w:vAlign w:val="center"/>
          </w:tcPr>
          <w:p w14:paraId="02BFACF0">
            <w:pPr>
              <w:spacing w:line="240" w:lineRule="auto"/>
              <w:ind w:firstLine="0" w:firstLineChars="0"/>
              <w:jc w:val="center"/>
              <w:rPr>
                <w:sz w:val="18"/>
                <w:szCs w:val="18"/>
                <w:lang w:eastAsia="en-US"/>
              </w:rPr>
            </w:pPr>
            <w:r>
              <w:rPr>
                <w:sz w:val="18"/>
                <w:szCs w:val="18"/>
                <w:lang w:eastAsia="en-US"/>
              </w:rPr>
              <w:t>893</w:t>
            </w:r>
          </w:p>
        </w:tc>
        <w:tc>
          <w:tcPr>
            <w:tcW w:w="0" w:type="auto"/>
            <w:vAlign w:val="center"/>
          </w:tcPr>
          <w:p w14:paraId="0E5A25D8">
            <w:pPr>
              <w:spacing w:line="240" w:lineRule="auto"/>
              <w:ind w:firstLine="0" w:firstLineChars="0"/>
              <w:jc w:val="center"/>
              <w:rPr>
                <w:sz w:val="18"/>
                <w:szCs w:val="18"/>
                <w:lang w:eastAsia="en-US"/>
              </w:rPr>
            </w:pPr>
            <w:r>
              <w:rPr>
                <w:sz w:val="18"/>
                <w:szCs w:val="18"/>
                <w:lang w:eastAsia="en-US"/>
              </w:rPr>
              <w:t>38.5%</w:t>
            </w:r>
          </w:p>
        </w:tc>
      </w:tr>
    </w:tbl>
    <w:p w14:paraId="7832ED6B">
      <w:pPr>
        <w:ind w:firstLine="0" w:firstLineChars="0"/>
        <w:rPr>
          <w:rFonts w:hint="eastAsia"/>
        </w:rPr>
      </w:pPr>
    </w:p>
    <w:p w14:paraId="25D16D21">
      <w:pPr>
        <w:pStyle w:val="4"/>
        <w:rPr>
          <w:bCs/>
          <w:lang w:eastAsia="zh-CN"/>
        </w:rPr>
      </w:pPr>
      <w:r>
        <w:rPr>
          <w:bCs/>
          <w:lang w:eastAsia="zh-CN"/>
        </w:rPr>
        <w:t>5.3 近红外瞳孔结果</w:t>
      </w:r>
    </w:p>
    <w:p w14:paraId="7E1B84CB"/>
    <w:p w14:paraId="439852A2">
      <w:pPr>
        <w:pStyle w:val="5"/>
      </w:pPr>
      <w:r>
        <w:t>5.3.1 瞳孔数据质量与可用范围</w:t>
      </w:r>
    </w:p>
    <w:p w14:paraId="1C194FB5">
      <w:pPr>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14:paraId="3D56660E">
      <w:pPr>
        <w:jc w:val="center"/>
      </w:pPr>
      <w:r>
        <w:drawing>
          <wp:inline xmlns:a="http://schemas.openxmlformats.org/drawingml/2006/main" xmlns:pic="http://schemas.openxmlformats.org/drawingml/2006/picture">
            <wp:extent cx="4860000" cy="4717166"/>
            <wp:docPr id="1688596220" name="Picture 1688596220"/>
            <wp:cNvGraphicFramePr>
              <a:graphicFrameLocks noChangeAspect="1"/>
            </wp:cNvGraphicFramePr>
            <a:graphic>
              <a:graphicData uri="http://schemas.openxmlformats.org/drawingml/2006/picture">
                <pic:pic>
                  <pic:nvPicPr>
                    <pic:cNvPr id="0" name="Figure09_data_quality_coverage.png"/>
                    <pic:cNvPicPr/>
                  </pic:nvPicPr>
                  <pic:blipFill>
                    <a:blip r:embed="rId43"/>
                    <a:stretch>
                      <a:fillRect/>
                    </a:stretch>
                  </pic:blipFill>
                  <pic:spPr>
                    <a:xfrm>
                      <a:off x="0" y="0"/>
                      <a:ext cx="4860000" cy="4717166"/>
                    </a:xfrm>
                    <a:prstGeom prst="rect"/>
                  </pic:spPr>
                </pic:pic>
              </a:graphicData>
            </a:graphic>
          </wp:inline>
        </w:drawing>
      </w:r>
    </w:p>
    <w:p w14:paraId="2F451786">
      <w:pPr>
        <w:jc w:val="center"/>
      </w:pPr>
      <w:r>
        <w:rPr>
          <w:rFonts w:ascii="Times New Roman" w:hAnsi="Times New Roman" w:eastAsia="宋体"/>
          <w:b/>
          <w:sz w:val="21"/>
        </w:rPr>
        <w:t>图 14 瞳孔数据质量与覆盖</w:t>
      </w:r>
    </w:p>
    <w:p w14:paraId="78135AC0">
      <w:pPr>
        <w:jc w:val="center"/>
      </w:pPr>
      <w:r>
        <w:rPr>
          <w:rFonts w:ascii="Times New Roman" w:hAnsi="Times New Roman" w:eastAsia="宋体"/>
          <w:b w:val="0"/>
          <w:sz w:val="18"/>
        </w:rPr>
        <w:t>注：呈现 109 个实验场次的瞳孔有效帧比例、窗口内部时间覆盖与双眼/单眼轨道可用性分布。</w:t>
      </w:r>
    </w:p>
    <w:p w14:paraId="035B6316">
      <w:pPr>
        <w:pStyle w:val="5"/>
      </w:pPr>
      <w:r>
        <w:t>5.3.2 视觉条件、任务进程与瞳孔变化</w:t>
      </w:r>
    </w:p>
    <w:p w14:paraId="0B00588D">
      <w:pPr>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15。</w:t>
      </w:r>
    </w:p>
    <w:p w14:paraId="583C68B9">
      <w:pPr>
        <w:jc w:val="center"/>
      </w:pPr>
      <w:r>
        <w:drawing>
          <wp:inline xmlns:a="http://schemas.openxmlformats.org/drawingml/2006/main" xmlns:pic="http://schemas.openxmlformats.org/drawingml/2006/picture">
            <wp:extent cx="4860000" cy="4288663"/>
            <wp:docPr id="1688596221" name="Picture 1688596221"/>
            <wp:cNvGraphicFramePr>
              <a:graphicFrameLocks noChangeAspect="1"/>
            </wp:cNvGraphicFramePr>
            <a:graphic>
              <a:graphicData uri="http://schemas.openxmlformats.org/drawingml/2006/picture">
                <pic:pic>
                  <pic:nvPicPr>
                    <pic:cNvPr id="0" name="Figure06_visual_PLR_controls.png"/>
                    <pic:cNvPicPr/>
                  </pic:nvPicPr>
                  <pic:blipFill>
                    <a:blip r:embed="rId44"/>
                    <a:stretch>
                      <a:fillRect/>
                    </a:stretch>
                  </pic:blipFill>
                  <pic:spPr>
                    <a:xfrm>
                      <a:off x="0" y="0"/>
                      <a:ext cx="4860000" cy="4288663"/>
                    </a:xfrm>
                    <a:prstGeom prst="rect"/>
                  </pic:spPr>
                </pic:pic>
              </a:graphicData>
            </a:graphic>
          </wp:inline>
        </w:drawing>
      </w:r>
    </w:p>
    <w:p w14:paraId="2AD5F2DF">
      <w:pPr>
        <w:jc w:val="center"/>
      </w:pPr>
      <w:r>
        <w:rPr>
          <w:rFonts w:ascii="Times New Roman" w:hAnsi="Times New Roman" w:eastAsia="宋体"/>
          <w:b/>
          <w:sz w:val="21"/>
        </w:rPr>
        <w:t>图 15 视觉刺激属性与瞳孔变化</w:t>
      </w:r>
    </w:p>
    <w:p w14:paraId="081C1950">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14:paraId="38D56D4D">
      <w:pPr>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14:paraId="3FB7DF2A">
      <w:pPr>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pPr>
        <w:pStyle w:val="5"/>
      </w:pPr>
      <w:r>
        <w:t>5.3.3 瞳孔与行为及思维探针的关系</w:t>
      </w:r>
    </w:p>
    <w:p w14:paraId="39184844">
      <w:pPr>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14:paraId="5320D7FD">
      <w:pPr>
        <w:jc w:val="center"/>
      </w:pPr>
      <w:r>
        <w:drawing>
          <wp:inline xmlns:a="http://schemas.openxmlformats.org/drawingml/2006/main" xmlns:pic="http://schemas.openxmlformats.org/drawingml/2006/picture">
            <wp:extent cx="4860000" cy="4288663"/>
            <wp:docPr id="1688596222" name="Picture 1688596222"/>
            <wp:cNvGraphicFramePr>
              <a:graphicFrameLocks noChangeAspect="1"/>
            </wp:cNvGraphicFramePr>
            <a:graphic>
              <a:graphicData uri="http://schemas.openxmlformats.org/drawingml/2006/picture">
                <pic:pic>
                  <pic:nvPicPr>
                    <pic:cNvPr id="0" name="Figure05_probe_states_trajectories.png"/>
                    <pic:cNvPicPr/>
                  </pic:nvPicPr>
                  <pic:blipFill>
                    <a:blip r:embed="rId45"/>
                    <a:stretch>
                      <a:fillRect/>
                    </a:stretch>
                  </pic:blipFill>
                  <pic:spPr>
                    <a:xfrm>
                      <a:off x="0" y="0"/>
                      <a:ext cx="4860000" cy="4288663"/>
                    </a:xfrm>
                    <a:prstGeom prst="rect"/>
                  </pic:spPr>
                </pic:pic>
              </a:graphicData>
            </a:graphic>
          </wp:inline>
        </w:drawing>
      </w:r>
    </w:p>
    <w:p w14:paraId="6E1761BF">
      <w:pPr>
        <w:jc w:val="center"/>
      </w:pPr>
      <w:r>
        <w:rPr>
          <w:rFonts w:ascii="Times New Roman" w:hAnsi="Times New Roman" w:eastAsia="宋体"/>
          <w:b/>
          <w:sz w:val="21"/>
        </w:rPr>
        <w:t>图 16 探针状态与瞳孔轨迹</w:t>
      </w:r>
    </w:p>
    <w:p w14:paraId="77B5C510">
      <w:pPr>
        <w:jc w:val="center"/>
      </w:pPr>
      <w:r>
        <w:rPr>
          <w:rFonts w:ascii="Times New Roman" w:hAnsi="Times New Roman" w:eastAsia="宋体"/>
          <w:b w:val="0"/>
          <w:sz w:val="18"/>
        </w:rPr>
        <w:t>注：呈现不同 Q1 注意内容与 Q2 警觉程度下探针前瞳孔几何平均直径的时间轨迹。</w:t>
      </w:r>
    </w:p>
    <w:p w14:paraId="3642C6FA">
      <w:pPr>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14:paraId="45E9303E">
      <w:pPr>
        <w:jc w:val="center"/>
      </w:pPr>
      <w:r>
        <w:drawing>
          <wp:inline xmlns:a="http://schemas.openxmlformats.org/drawingml/2006/main" xmlns:pic="http://schemas.openxmlformats.org/drawingml/2006/picture">
            <wp:extent cx="4860000" cy="4431497"/>
            <wp:docPr id="1688596223" name="Picture 1688596223"/>
            <wp:cNvGraphicFramePr>
              <a:graphicFrameLocks noChangeAspect="1"/>
            </wp:cNvGraphicFramePr>
            <a:graphic>
              <a:graphicData uri="http://schemas.openxmlformats.org/drawingml/2006/picture">
                <pic:pic>
                  <pic:nvPicPr>
                    <pic:cNvPr id="0" name="Figure10_robustness_models.png"/>
                    <pic:cNvPicPr/>
                  </pic:nvPicPr>
                  <pic:blipFill>
                    <a:blip r:embed="rId46"/>
                    <a:stretch>
                      <a:fillRect/>
                    </a:stretch>
                  </pic:blipFill>
                  <pic:spPr>
                    <a:xfrm>
                      <a:off x="0" y="0"/>
                      <a:ext cx="4860000" cy="4431497"/>
                    </a:xfrm>
                    <a:prstGeom prst="rect"/>
                  </pic:spPr>
                </pic:pic>
              </a:graphicData>
            </a:graphic>
          </wp:inline>
        </w:drawing>
      </w:r>
    </w:p>
    <w:p w14:paraId="3E4C4352">
      <w:pPr>
        <w:jc w:val="center"/>
      </w:pPr>
      <w:r>
        <w:rPr>
          <w:rFonts w:ascii="Times New Roman" w:hAnsi="Times New Roman" w:eastAsia="宋体"/>
          <w:b/>
          <w:sz w:val="21"/>
        </w:rPr>
        <w:t>图 17 瞳孔效应估计的稳健性</w:t>
      </w:r>
    </w:p>
    <w:p w14:paraId="0945047C">
      <w:pPr>
        <w:jc w:val="center"/>
      </w:pPr>
      <w:r>
        <w:rPr>
          <w:rFonts w:ascii="Times New Roman" w:hAnsi="Times New Roman" w:eastAsia="宋体"/>
          <w:b w:val="0"/>
          <w:sz w:val="18"/>
        </w:rPr>
        <w:t>注：呈现主要瞳孔指标在未调整与视觉调整模型中的效应估计与 95% CI。</w:t>
      </w:r>
    </w:p>
    <w:p w14:paraId="4D26AD0C">
      <w:pPr>
        <w:pStyle w:val="4"/>
        <w:rPr>
          <w:bCs/>
          <w:lang w:eastAsia="zh-CN"/>
        </w:rPr>
      </w:pPr>
      <w:r>
        <w:rPr>
          <w:bCs/>
          <w:lang w:eastAsia="zh-CN"/>
        </w:rPr>
        <w:t>5.4 毫米波胸部微动结果</w:t>
      </w:r>
    </w:p>
    <w:p w14:paraId="7B33BA7B">
      <w:pPr>
        <w:pStyle w:val="5"/>
      </w:pPr>
      <w:r>
        <w:t>5.4.1 数据可用范围与信号质量</w:t>
      </w:r>
    </w:p>
    <w:p w14:paraId="273872F5">
      <w:pPr>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1"/>
        <w:gridCol w:w="1531"/>
        <w:gridCol w:w="1531"/>
        <w:gridCol w:w="1531"/>
        <w:gridCol w:w="1716"/>
      </w:tblGrid>
      <w:tr w14:paraId="090A6B7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tcBorders>
              <w:bottom w:val="single" w:color="auto" w:sz="6" w:space="0"/>
            </w:tcBorders>
            <w:vAlign w:val="center"/>
          </w:tcPr>
          <w:p w14:paraId="10B46206">
            <w:pPr>
              <w:jc w:val="center"/>
              <w:rPr>
                <w:lang w:eastAsia="en-US"/>
              </w:rPr>
            </w:pPr>
            <w:r>
              <w:rPr>
                <w:rFonts w:ascii="Times New Roman" w:hAnsi="Times New Roman" w:eastAsia="宋体"/>
                <w:b/>
                <w:sz w:val="18"/>
                <w:lang w:eastAsia="en-US"/>
              </w:rPr>
              <w:t>特征</w:t>
            </w:r>
          </w:p>
        </w:tc>
        <w:tc>
          <w:tcPr>
            <w:tcW w:w="1531" w:type="dxa"/>
            <w:tcBorders>
              <w:bottom w:val="single" w:color="auto" w:sz="6" w:space="0"/>
            </w:tcBorders>
            <w:vAlign w:val="center"/>
          </w:tcPr>
          <w:p w14:paraId="49651C77">
            <w:pPr>
              <w:jc w:val="center"/>
              <w:rPr>
                <w:lang w:eastAsia="en-US"/>
              </w:rPr>
            </w:pPr>
            <w:r>
              <w:rPr>
                <w:rFonts w:ascii="Times New Roman" w:hAnsi="Times New Roman" w:eastAsia="宋体"/>
                <w:b/>
                <w:sz w:val="18"/>
                <w:lang w:eastAsia="en-US"/>
              </w:rPr>
              <w:t>M</w:t>
            </w:r>
          </w:p>
        </w:tc>
        <w:tc>
          <w:tcPr>
            <w:tcW w:w="1531" w:type="dxa"/>
            <w:tcBorders>
              <w:bottom w:val="single" w:color="auto" w:sz="6" w:space="0"/>
            </w:tcBorders>
            <w:vAlign w:val="center"/>
          </w:tcPr>
          <w:p w14:paraId="1FC03572">
            <w:pPr>
              <w:jc w:val="center"/>
              <w:rPr>
                <w:lang w:eastAsia="en-US"/>
              </w:rPr>
            </w:pPr>
            <w:r>
              <w:rPr>
                <w:rFonts w:ascii="Times New Roman" w:hAnsi="Times New Roman" w:eastAsia="宋体"/>
                <w:b/>
                <w:sz w:val="18"/>
                <w:lang w:eastAsia="en-US"/>
              </w:rPr>
              <w:t>SD</w:t>
            </w:r>
          </w:p>
        </w:tc>
        <w:tc>
          <w:tcPr>
            <w:tcW w:w="1531" w:type="dxa"/>
            <w:tcBorders>
              <w:bottom w:val="single" w:color="auto" w:sz="6" w:space="0"/>
            </w:tcBorders>
            <w:vAlign w:val="center"/>
          </w:tcPr>
          <w:p w14:paraId="36AEA9CF">
            <w:pPr>
              <w:jc w:val="center"/>
              <w:rPr>
                <w:lang w:eastAsia="en-US"/>
              </w:rPr>
            </w:pPr>
            <w:r>
              <w:rPr>
                <w:rFonts w:ascii="Times New Roman" w:hAnsi="Times New Roman" w:eastAsia="宋体"/>
                <w:b/>
                <w:sz w:val="18"/>
                <w:lang w:eastAsia="en-US"/>
              </w:rPr>
              <w:t>中位数</w:t>
            </w:r>
          </w:p>
        </w:tc>
        <w:tc>
          <w:tcPr>
            <w:tcW w:w="1531" w:type="dxa"/>
            <w:tcBorders>
              <w:bottom w:val="single" w:color="auto" w:sz="6" w:space="0"/>
            </w:tcBorders>
            <w:vAlign w:val="center"/>
          </w:tcPr>
          <w:p w14:paraId="32AEAD88">
            <w:pPr>
              <w:jc w:val="center"/>
              <w:rPr>
                <w:lang w:eastAsia="en-US"/>
              </w:rPr>
            </w:pPr>
            <w:r>
              <w:rPr>
                <w:rFonts w:ascii="Times New Roman" w:hAnsi="Times New Roman" w:eastAsia="宋体"/>
                <w:b/>
                <w:sz w:val="18"/>
                <w:lang w:eastAsia="en-US"/>
              </w:rPr>
              <w:t>范围</w:t>
            </w:r>
          </w:p>
        </w:tc>
      </w:tr>
      <w:tr w14:paraId="63C1C32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2BBB6D0">
            <w:pPr>
              <w:jc w:val="center"/>
              <w:rPr>
                <w:lang w:eastAsia="en-US"/>
              </w:rPr>
            </w:pPr>
            <w:r>
              <w:rPr>
                <w:rFonts w:ascii="Times New Roman" w:hAnsi="Times New Roman" w:eastAsia="宋体"/>
                <w:b w:val="0"/>
                <w:sz w:val="18"/>
                <w:lang w:eastAsia="en-US"/>
              </w:rPr>
              <w:t>融合心率（bpm）</w:t>
            </w:r>
          </w:p>
        </w:tc>
        <w:tc>
          <w:tcPr>
            <w:tcW w:w="1531" w:type="dxa"/>
            <w:vAlign w:val="center"/>
          </w:tcPr>
          <w:p w14:paraId="1C9EA5B5">
            <w:pPr>
              <w:jc w:val="center"/>
              <w:rPr>
                <w:lang w:eastAsia="en-US"/>
              </w:rPr>
            </w:pPr>
            <w:r>
              <w:rPr>
                <w:rFonts w:ascii="Times New Roman" w:hAnsi="Times New Roman" w:eastAsia="宋体"/>
                <w:b w:val="0"/>
                <w:sz w:val="18"/>
                <w:lang w:eastAsia="en-US"/>
              </w:rPr>
              <w:t>76.48</w:t>
            </w:r>
          </w:p>
        </w:tc>
        <w:tc>
          <w:tcPr>
            <w:tcW w:w="1531" w:type="dxa"/>
            <w:vAlign w:val="center"/>
          </w:tcPr>
          <w:p w14:paraId="4BDC41C9">
            <w:pPr>
              <w:jc w:val="center"/>
              <w:rPr>
                <w:lang w:eastAsia="en-US"/>
              </w:rPr>
            </w:pPr>
            <w:r>
              <w:rPr>
                <w:rFonts w:ascii="Times New Roman" w:hAnsi="Times New Roman" w:eastAsia="宋体"/>
                <w:b w:val="0"/>
                <w:sz w:val="18"/>
                <w:lang w:eastAsia="en-US"/>
              </w:rPr>
              <w:t>8.85</w:t>
            </w:r>
          </w:p>
        </w:tc>
        <w:tc>
          <w:tcPr>
            <w:tcW w:w="1531" w:type="dxa"/>
            <w:vAlign w:val="center"/>
          </w:tcPr>
          <w:p w14:paraId="2276F60A">
            <w:pPr>
              <w:jc w:val="center"/>
              <w:rPr>
                <w:lang w:eastAsia="en-US"/>
              </w:rPr>
            </w:pPr>
            <w:r>
              <w:rPr>
                <w:rFonts w:ascii="Times New Roman" w:hAnsi="Times New Roman" w:eastAsia="宋体"/>
                <w:b w:val="0"/>
                <w:sz w:val="18"/>
                <w:lang w:eastAsia="en-US"/>
              </w:rPr>
              <w:t>76.24</w:t>
            </w:r>
          </w:p>
        </w:tc>
        <w:tc>
          <w:tcPr>
            <w:tcW w:w="1531" w:type="dxa"/>
            <w:vAlign w:val="center"/>
          </w:tcPr>
          <w:p w14:paraId="555FFF6E">
            <w:pPr>
              <w:jc w:val="center"/>
              <w:rPr>
                <w:lang w:eastAsia="en-US"/>
              </w:rPr>
            </w:pPr>
            <w:r>
              <w:rPr>
                <w:rFonts w:ascii="Times New Roman" w:hAnsi="Times New Roman" w:eastAsia="宋体"/>
                <w:b w:val="0"/>
                <w:sz w:val="18"/>
                <w:lang w:eastAsia="en-US"/>
              </w:rPr>
              <w:t>56.66–102.77</w:t>
            </w:r>
          </w:p>
        </w:tc>
      </w:tr>
      <w:tr w14:paraId="51C622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5C5C60F">
            <w:pPr>
              <w:jc w:val="center"/>
              <w:rPr>
                <w:lang w:eastAsia="en-US"/>
              </w:rPr>
            </w:pPr>
            <w:r>
              <w:rPr>
                <w:rFonts w:ascii="Times New Roman" w:hAnsi="Times New Roman" w:eastAsia="宋体"/>
                <w:b w:val="0"/>
                <w:sz w:val="18"/>
                <w:lang w:eastAsia="en-US"/>
              </w:rPr>
              <w:t>频域心率（bpm）</w:t>
            </w:r>
          </w:p>
        </w:tc>
        <w:tc>
          <w:tcPr>
            <w:tcW w:w="1531" w:type="dxa"/>
            <w:vAlign w:val="center"/>
          </w:tcPr>
          <w:p w14:paraId="7347637D">
            <w:pPr>
              <w:jc w:val="center"/>
              <w:rPr>
                <w:lang w:eastAsia="en-US"/>
              </w:rPr>
            </w:pPr>
            <w:r>
              <w:rPr>
                <w:rFonts w:ascii="Times New Roman" w:hAnsi="Times New Roman" w:eastAsia="宋体"/>
                <w:b w:val="0"/>
                <w:sz w:val="18"/>
                <w:lang w:eastAsia="en-US"/>
              </w:rPr>
              <w:t>73.46</w:t>
            </w:r>
          </w:p>
        </w:tc>
        <w:tc>
          <w:tcPr>
            <w:tcW w:w="1531" w:type="dxa"/>
            <w:vAlign w:val="center"/>
          </w:tcPr>
          <w:p w14:paraId="55E13795">
            <w:pPr>
              <w:jc w:val="center"/>
              <w:rPr>
                <w:lang w:eastAsia="en-US"/>
              </w:rPr>
            </w:pPr>
            <w:r>
              <w:rPr>
                <w:rFonts w:ascii="Times New Roman" w:hAnsi="Times New Roman" w:eastAsia="宋体"/>
                <w:b w:val="0"/>
                <w:sz w:val="18"/>
                <w:lang w:eastAsia="en-US"/>
              </w:rPr>
              <w:t>10.32</w:t>
            </w:r>
          </w:p>
        </w:tc>
        <w:tc>
          <w:tcPr>
            <w:tcW w:w="1531" w:type="dxa"/>
            <w:vAlign w:val="center"/>
          </w:tcPr>
          <w:p w14:paraId="16E3AB99">
            <w:pPr>
              <w:jc w:val="center"/>
              <w:rPr>
                <w:lang w:eastAsia="en-US"/>
              </w:rPr>
            </w:pPr>
            <w:r>
              <w:rPr>
                <w:rFonts w:ascii="Times New Roman" w:hAnsi="Times New Roman" w:eastAsia="宋体"/>
                <w:b w:val="0"/>
                <w:sz w:val="18"/>
                <w:lang w:eastAsia="en-US"/>
              </w:rPr>
              <w:t>72.46</w:t>
            </w:r>
          </w:p>
        </w:tc>
        <w:tc>
          <w:tcPr>
            <w:tcW w:w="1531" w:type="dxa"/>
            <w:vAlign w:val="center"/>
          </w:tcPr>
          <w:p w14:paraId="256F51C3">
            <w:pPr>
              <w:jc w:val="center"/>
              <w:rPr>
                <w:lang w:eastAsia="en-US"/>
              </w:rPr>
            </w:pPr>
            <w:r>
              <w:rPr>
                <w:rFonts w:ascii="Times New Roman" w:hAnsi="Times New Roman" w:eastAsia="宋体"/>
                <w:b w:val="0"/>
                <w:sz w:val="18"/>
                <w:lang w:eastAsia="en-US"/>
              </w:rPr>
              <w:t>52.09–102.54</w:t>
            </w:r>
          </w:p>
        </w:tc>
      </w:tr>
      <w:tr w14:paraId="33D0A1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9DA74E9">
            <w:pPr>
              <w:jc w:val="center"/>
              <w:rPr>
                <w:lang w:eastAsia="en-US"/>
              </w:rPr>
            </w:pPr>
            <w:r>
              <w:rPr>
                <w:rFonts w:ascii="Times New Roman" w:hAnsi="Times New Roman" w:eastAsia="宋体"/>
                <w:b w:val="0"/>
                <w:sz w:val="18"/>
                <w:lang w:eastAsia="en-US"/>
              </w:rPr>
              <w:t>时域心率（bpm）</w:t>
            </w:r>
          </w:p>
        </w:tc>
        <w:tc>
          <w:tcPr>
            <w:tcW w:w="1531" w:type="dxa"/>
            <w:vAlign w:val="center"/>
          </w:tcPr>
          <w:p w14:paraId="1CE01A24">
            <w:pPr>
              <w:jc w:val="center"/>
              <w:rPr>
                <w:lang w:eastAsia="en-US"/>
              </w:rPr>
            </w:pPr>
            <w:r>
              <w:rPr>
                <w:rFonts w:ascii="Times New Roman" w:hAnsi="Times New Roman" w:eastAsia="宋体"/>
                <w:b w:val="0"/>
                <w:sz w:val="18"/>
                <w:lang w:eastAsia="en-US"/>
              </w:rPr>
              <w:t>78.41</w:t>
            </w:r>
          </w:p>
        </w:tc>
        <w:tc>
          <w:tcPr>
            <w:tcW w:w="1531" w:type="dxa"/>
            <w:vAlign w:val="center"/>
          </w:tcPr>
          <w:p w14:paraId="5EDB048B">
            <w:pPr>
              <w:jc w:val="center"/>
              <w:rPr>
                <w:lang w:eastAsia="en-US"/>
              </w:rPr>
            </w:pPr>
            <w:r>
              <w:rPr>
                <w:rFonts w:ascii="Times New Roman" w:hAnsi="Times New Roman" w:eastAsia="宋体"/>
                <w:b w:val="0"/>
                <w:sz w:val="18"/>
                <w:lang w:eastAsia="en-US"/>
              </w:rPr>
              <w:t>7.59</w:t>
            </w:r>
          </w:p>
        </w:tc>
        <w:tc>
          <w:tcPr>
            <w:tcW w:w="1531" w:type="dxa"/>
            <w:vAlign w:val="center"/>
          </w:tcPr>
          <w:p w14:paraId="0E7E05C4">
            <w:pPr>
              <w:jc w:val="center"/>
              <w:rPr>
                <w:lang w:eastAsia="en-US"/>
              </w:rPr>
            </w:pPr>
            <w:r>
              <w:rPr>
                <w:rFonts w:ascii="Times New Roman" w:hAnsi="Times New Roman" w:eastAsia="宋体"/>
                <w:b w:val="0"/>
                <w:sz w:val="18"/>
                <w:lang w:eastAsia="en-US"/>
              </w:rPr>
              <w:t>77.55</w:t>
            </w:r>
          </w:p>
        </w:tc>
        <w:tc>
          <w:tcPr>
            <w:tcW w:w="1531" w:type="dxa"/>
            <w:vAlign w:val="center"/>
          </w:tcPr>
          <w:p w14:paraId="778E6F88">
            <w:pPr>
              <w:jc w:val="center"/>
              <w:rPr>
                <w:lang w:eastAsia="en-US"/>
              </w:rPr>
            </w:pPr>
            <w:r>
              <w:rPr>
                <w:rFonts w:ascii="Times New Roman" w:hAnsi="Times New Roman" w:eastAsia="宋体"/>
                <w:b w:val="0"/>
                <w:sz w:val="18"/>
                <w:lang w:eastAsia="en-US"/>
              </w:rPr>
              <w:t>61.39–104.59</w:t>
            </w:r>
          </w:p>
        </w:tc>
      </w:tr>
      <w:tr w14:paraId="5E2AFCF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0501661">
            <w:pPr>
              <w:jc w:val="center"/>
              <w:rPr>
                <w:lang w:eastAsia="en-US"/>
              </w:rPr>
            </w:pPr>
            <w:r>
              <w:rPr>
                <w:rFonts w:ascii="Times New Roman" w:hAnsi="Times New Roman" w:eastAsia="宋体"/>
                <w:b w:val="0"/>
                <w:sz w:val="18"/>
                <w:lang w:eastAsia="en-US"/>
              </w:rPr>
              <w:t>呼吸频率（次/分）</w:t>
            </w:r>
          </w:p>
        </w:tc>
        <w:tc>
          <w:tcPr>
            <w:tcW w:w="1531" w:type="dxa"/>
            <w:vAlign w:val="center"/>
          </w:tcPr>
          <w:p w14:paraId="57AFE58A">
            <w:pPr>
              <w:jc w:val="center"/>
              <w:rPr>
                <w:lang w:eastAsia="en-US"/>
              </w:rPr>
            </w:pPr>
            <w:r>
              <w:rPr>
                <w:rFonts w:ascii="Times New Roman" w:hAnsi="Times New Roman" w:eastAsia="宋体"/>
                <w:b w:val="0"/>
                <w:sz w:val="18"/>
                <w:lang w:eastAsia="en-US"/>
              </w:rPr>
              <w:t>19.43</w:t>
            </w:r>
          </w:p>
        </w:tc>
        <w:tc>
          <w:tcPr>
            <w:tcW w:w="1531" w:type="dxa"/>
            <w:vAlign w:val="center"/>
          </w:tcPr>
          <w:p w14:paraId="0BED2E20">
            <w:pPr>
              <w:jc w:val="center"/>
              <w:rPr>
                <w:lang w:eastAsia="en-US"/>
              </w:rPr>
            </w:pPr>
            <w:r>
              <w:rPr>
                <w:rFonts w:ascii="Times New Roman" w:hAnsi="Times New Roman" w:eastAsia="宋体"/>
                <w:b w:val="0"/>
                <w:sz w:val="18"/>
                <w:lang w:eastAsia="en-US"/>
              </w:rPr>
              <w:t>3.23</w:t>
            </w:r>
          </w:p>
        </w:tc>
        <w:tc>
          <w:tcPr>
            <w:tcW w:w="1531" w:type="dxa"/>
            <w:vAlign w:val="center"/>
          </w:tcPr>
          <w:p w14:paraId="260ED572">
            <w:pPr>
              <w:jc w:val="center"/>
              <w:rPr>
                <w:lang w:eastAsia="en-US"/>
              </w:rPr>
            </w:pPr>
            <w:r>
              <w:rPr>
                <w:rFonts w:ascii="Times New Roman" w:hAnsi="Times New Roman" w:eastAsia="宋体"/>
                <w:b w:val="0"/>
                <w:sz w:val="18"/>
                <w:lang w:eastAsia="en-US"/>
              </w:rPr>
              <w:t>20.00</w:t>
            </w:r>
          </w:p>
        </w:tc>
        <w:tc>
          <w:tcPr>
            <w:tcW w:w="1531" w:type="dxa"/>
            <w:vAlign w:val="center"/>
          </w:tcPr>
          <w:p w14:paraId="2FA8F5A9">
            <w:pPr>
              <w:jc w:val="center"/>
              <w:rPr>
                <w:lang w:eastAsia="en-US"/>
              </w:rPr>
            </w:pPr>
            <w:r>
              <w:rPr>
                <w:rFonts w:ascii="Times New Roman" w:hAnsi="Times New Roman" w:eastAsia="宋体"/>
                <w:b w:val="0"/>
                <w:sz w:val="18"/>
                <w:lang w:eastAsia="en-US"/>
              </w:rPr>
              <w:t>8.26–26.15</w:t>
            </w:r>
          </w:p>
        </w:tc>
      </w:tr>
      <w:tr w14:paraId="64B1AB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C0BAE42">
            <w:pPr>
              <w:jc w:val="center"/>
              <w:rPr>
                <w:lang w:eastAsia="en-US"/>
              </w:rPr>
            </w:pPr>
            <w:r>
              <w:rPr>
                <w:rFonts w:ascii="Times New Roman" w:hAnsi="Times New Roman" w:eastAsia="宋体"/>
                <w:b w:val="0"/>
                <w:sz w:val="18"/>
                <w:lang w:eastAsia="en-US"/>
              </w:rPr>
              <w:t>运动代理</w:t>
            </w:r>
          </w:p>
        </w:tc>
        <w:tc>
          <w:tcPr>
            <w:tcW w:w="1531" w:type="dxa"/>
            <w:vAlign w:val="center"/>
          </w:tcPr>
          <w:p w14:paraId="13AA6EC8">
            <w:pPr>
              <w:jc w:val="center"/>
              <w:rPr>
                <w:lang w:eastAsia="en-US"/>
              </w:rPr>
            </w:pPr>
            <w:r>
              <w:rPr>
                <w:rFonts w:ascii="Times New Roman" w:hAnsi="Times New Roman" w:eastAsia="宋体"/>
                <w:b w:val="0"/>
                <w:sz w:val="18"/>
                <w:lang w:eastAsia="en-US"/>
              </w:rPr>
              <w:t>0.0281</w:t>
            </w:r>
          </w:p>
        </w:tc>
        <w:tc>
          <w:tcPr>
            <w:tcW w:w="1531" w:type="dxa"/>
            <w:vAlign w:val="center"/>
          </w:tcPr>
          <w:p w14:paraId="521BD2B3">
            <w:pPr>
              <w:jc w:val="center"/>
              <w:rPr>
                <w:lang w:eastAsia="en-US"/>
              </w:rPr>
            </w:pPr>
            <w:r>
              <w:rPr>
                <w:rFonts w:ascii="Times New Roman" w:hAnsi="Times New Roman" w:eastAsia="宋体"/>
                <w:b w:val="0"/>
                <w:sz w:val="18"/>
                <w:lang w:eastAsia="en-US"/>
              </w:rPr>
              <w:t>0.0079</w:t>
            </w:r>
          </w:p>
        </w:tc>
        <w:tc>
          <w:tcPr>
            <w:tcW w:w="1531" w:type="dxa"/>
            <w:vAlign w:val="center"/>
          </w:tcPr>
          <w:p w14:paraId="56735E9A">
            <w:pPr>
              <w:jc w:val="center"/>
              <w:rPr>
                <w:lang w:eastAsia="en-US"/>
              </w:rPr>
            </w:pPr>
            <w:r>
              <w:rPr>
                <w:rFonts w:ascii="Times New Roman" w:hAnsi="Times New Roman" w:eastAsia="宋体"/>
                <w:b w:val="0"/>
                <w:sz w:val="18"/>
                <w:lang w:eastAsia="en-US"/>
              </w:rPr>
              <w:t>0.0276</w:t>
            </w:r>
          </w:p>
        </w:tc>
        <w:tc>
          <w:tcPr>
            <w:tcW w:w="1531" w:type="dxa"/>
            <w:vAlign w:val="center"/>
          </w:tcPr>
          <w:p w14:paraId="5DD87902">
            <w:pPr>
              <w:jc w:val="center"/>
              <w:rPr>
                <w:lang w:eastAsia="en-US"/>
              </w:rPr>
            </w:pPr>
            <w:r>
              <w:rPr>
                <w:rFonts w:ascii="Times New Roman" w:hAnsi="Times New Roman" w:eastAsia="宋体"/>
                <w:b w:val="0"/>
                <w:sz w:val="18"/>
                <w:lang w:eastAsia="en-US"/>
              </w:rPr>
              <w:t>0.0143–0.0666</w:t>
            </w:r>
          </w:p>
        </w:tc>
      </w:tr>
      <w:tr w14:paraId="118B6D5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046469B9">
            <w:pPr>
              <w:jc w:val="center"/>
              <w:rPr>
                <w:lang w:eastAsia="en-US"/>
              </w:rPr>
            </w:pPr>
            <w:r>
              <w:rPr>
                <w:rFonts w:ascii="Times New Roman" w:hAnsi="Times New Roman" w:eastAsia="宋体"/>
                <w:b w:val="0"/>
                <w:sz w:val="18"/>
                <w:lang w:eastAsia="en-US"/>
              </w:rPr>
              <w:t>相位稳定性</w:t>
            </w:r>
          </w:p>
        </w:tc>
        <w:tc>
          <w:tcPr>
            <w:tcW w:w="1531" w:type="dxa"/>
            <w:vAlign w:val="center"/>
          </w:tcPr>
          <w:p w14:paraId="4785B265">
            <w:pPr>
              <w:jc w:val="center"/>
              <w:rPr>
                <w:lang w:eastAsia="en-US"/>
              </w:rPr>
            </w:pPr>
            <w:r>
              <w:rPr>
                <w:rFonts w:ascii="Times New Roman" w:hAnsi="Times New Roman" w:eastAsia="宋体"/>
                <w:b w:val="0"/>
                <w:sz w:val="18"/>
                <w:lang w:eastAsia="en-US"/>
              </w:rPr>
              <w:t>0.9538</w:t>
            </w:r>
          </w:p>
        </w:tc>
        <w:tc>
          <w:tcPr>
            <w:tcW w:w="1531" w:type="dxa"/>
            <w:vAlign w:val="center"/>
          </w:tcPr>
          <w:p w14:paraId="482E2E68">
            <w:pPr>
              <w:jc w:val="center"/>
              <w:rPr>
                <w:lang w:eastAsia="en-US"/>
              </w:rPr>
            </w:pPr>
            <w:r>
              <w:rPr>
                <w:rFonts w:ascii="Times New Roman" w:hAnsi="Times New Roman" w:eastAsia="宋体"/>
                <w:b w:val="0"/>
                <w:sz w:val="18"/>
                <w:lang w:eastAsia="en-US"/>
              </w:rPr>
              <w:t>0.0072</w:t>
            </w:r>
          </w:p>
        </w:tc>
        <w:tc>
          <w:tcPr>
            <w:tcW w:w="1531" w:type="dxa"/>
            <w:vAlign w:val="center"/>
          </w:tcPr>
          <w:p w14:paraId="22B9CA33">
            <w:pPr>
              <w:jc w:val="center"/>
              <w:rPr>
                <w:lang w:eastAsia="en-US"/>
              </w:rPr>
            </w:pPr>
            <w:r>
              <w:rPr>
                <w:rFonts w:ascii="Times New Roman" w:hAnsi="Times New Roman" w:eastAsia="宋体"/>
                <w:b w:val="0"/>
                <w:sz w:val="18"/>
                <w:lang w:eastAsia="en-US"/>
              </w:rPr>
              <w:t>0.9540</w:t>
            </w:r>
          </w:p>
        </w:tc>
        <w:tc>
          <w:tcPr>
            <w:tcW w:w="1531" w:type="dxa"/>
            <w:vAlign w:val="center"/>
          </w:tcPr>
          <w:p w14:paraId="0F4754B2">
            <w:pPr>
              <w:jc w:val="center"/>
              <w:rPr>
                <w:lang w:eastAsia="en-US"/>
              </w:rPr>
            </w:pPr>
            <w:r>
              <w:rPr>
                <w:rFonts w:ascii="Times New Roman" w:hAnsi="Times New Roman" w:eastAsia="宋体"/>
                <w:b w:val="0"/>
                <w:sz w:val="18"/>
                <w:lang w:eastAsia="en-US"/>
              </w:rPr>
              <w:t>0.9338–0.9702</w:t>
            </w:r>
          </w:p>
        </w:tc>
      </w:tr>
      <w:tr w14:paraId="191F0A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2319B2BF">
            <w:pPr>
              <w:jc w:val="center"/>
              <w:rPr>
                <w:lang w:eastAsia="en-US"/>
              </w:rPr>
            </w:pPr>
            <w:r>
              <w:rPr>
                <w:rFonts w:ascii="Times New Roman" w:hAnsi="Times New Roman" w:eastAsia="宋体"/>
                <w:b w:val="0"/>
                <w:sz w:val="18"/>
                <w:lang w:eastAsia="en-US"/>
              </w:rPr>
              <w:t>心率置信度</w:t>
            </w:r>
          </w:p>
        </w:tc>
        <w:tc>
          <w:tcPr>
            <w:tcW w:w="1531" w:type="dxa"/>
            <w:vAlign w:val="center"/>
          </w:tcPr>
          <w:p w14:paraId="56A4A4BA">
            <w:pPr>
              <w:jc w:val="center"/>
              <w:rPr>
                <w:lang w:eastAsia="en-US"/>
              </w:rPr>
            </w:pPr>
            <w:r>
              <w:rPr>
                <w:rFonts w:ascii="Times New Roman" w:hAnsi="Times New Roman" w:eastAsia="宋体"/>
                <w:b w:val="0"/>
                <w:sz w:val="18"/>
                <w:lang w:eastAsia="en-US"/>
              </w:rPr>
              <w:t>0.3509</w:t>
            </w:r>
          </w:p>
        </w:tc>
        <w:tc>
          <w:tcPr>
            <w:tcW w:w="1531" w:type="dxa"/>
            <w:vAlign w:val="center"/>
          </w:tcPr>
          <w:p w14:paraId="25F3A31C">
            <w:pPr>
              <w:jc w:val="center"/>
              <w:rPr>
                <w:lang w:eastAsia="en-US"/>
              </w:rPr>
            </w:pPr>
            <w:r>
              <w:rPr>
                <w:rFonts w:ascii="Times New Roman" w:hAnsi="Times New Roman" w:eastAsia="宋体"/>
                <w:b w:val="0"/>
                <w:sz w:val="18"/>
                <w:lang w:eastAsia="en-US"/>
              </w:rPr>
              <w:t>0.1551</w:t>
            </w:r>
          </w:p>
        </w:tc>
        <w:tc>
          <w:tcPr>
            <w:tcW w:w="1531" w:type="dxa"/>
            <w:vAlign w:val="center"/>
          </w:tcPr>
          <w:p w14:paraId="29F69CAE">
            <w:pPr>
              <w:jc w:val="center"/>
              <w:rPr>
                <w:lang w:eastAsia="en-US"/>
              </w:rPr>
            </w:pPr>
            <w:r>
              <w:rPr>
                <w:rFonts w:ascii="Times New Roman" w:hAnsi="Times New Roman" w:eastAsia="宋体"/>
                <w:b w:val="0"/>
                <w:sz w:val="18"/>
                <w:lang w:eastAsia="en-US"/>
              </w:rPr>
              <w:t>0.3435</w:t>
            </w:r>
          </w:p>
        </w:tc>
        <w:tc>
          <w:tcPr>
            <w:tcW w:w="1531" w:type="dxa"/>
            <w:vAlign w:val="center"/>
          </w:tcPr>
          <w:p w14:paraId="1FCDBBE3">
            <w:pPr>
              <w:jc w:val="center"/>
              <w:rPr>
                <w:lang w:eastAsia="en-US"/>
              </w:rPr>
            </w:pPr>
            <w:r>
              <w:rPr>
                <w:rFonts w:ascii="Times New Roman" w:hAnsi="Times New Roman" w:eastAsia="宋体"/>
                <w:b w:val="0"/>
                <w:sz w:val="18"/>
                <w:lang w:eastAsia="en-US"/>
              </w:rPr>
              <w:t>0.0076–0.7459</w:t>
            </w:r>
          </w:p>
        </w:tc>
      </w:tr>
      <w:tr w14:paraId="6F778E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4DB7307">
            <w:pPr>
              <w:jc w:val="center"/>
              <w:rPr>
                <w:lang w:eastAsia="en-US"/>
              </w:rPr>
            </w:pPr>
            <w:r>
              <w:rPr>
                <w:rFonts w:ascii="Times New Roman" w:hAnsi="Times New Roman" w:eastAsia="宋体"/>
                <w:b w:val="0"/>
                <w:sz w:val="18"/>
                <w:lang w:eastAsia="en-US"/>
              </w:rPr>
              <w:t>时间戳覆盖比例</w:t>
            </w:r>
          </w:p>
        </w:tc>
        <w:tc>
          <w:tcPr>
            <w:tcW w:w="1531" w:type="dxa"/>
            <w:vAlign w:val="center"/>
          </w:tcPr>
          <w:p w14:paraId="65D03E73">
            <w:pPr>
              <w:jc w:val="center"/>
              <w:rPr>
                <w:lang w:eastAsia="en-US"/>
              </w:rPr>
            </w:pPr>
            <w:r>
              <w:rPr>
                <w:rFonts w:ascii="Times New Roman" w:hAnsi="Times New Roman" w:eastAsia="宋体"/>
                <w:b w:val="0"/>
                <w:sz w:val="18"/>
                <w:lang w:eastAsia="en-US"/>
              </w:rPr>
              <w:t>0.6408</w:t>
            </w:r>
          </w:p>
        </w:tc>
        <w:tc>
          <w:tcPr>
            <w:tcW w:w="1531" w:type="dxa"/>
            <w:vAlign w:val="center"/>
          </w:tcPr>
          <w:p w14:paraId="58033E61">
            <w:pPr>
              <w:jc w:val="center"/>
              <w:rPr>
                <w:lang w:eastAsia="en-US"/>
              </w:rPr>
            </w:pPr>
            <w:r>
              <w:rPr>
                <w:rFonts w:ascii="Times New Roman" w:hAnsi="Times New Roman" w:eastAsia="宋体"/>
                <w:b w:val="0"/>
                <w:sz w:val="18"/>
                <w:lang w:eastAsia="en-US"/>
              </w:rPr>
              <w:t>0.0775</w:t>
            </w:r>
          </w:p>
        </w:tc>
        <w:tc>
          <w:tcPr>
            <w:tcW w:w="1531" w:type="dxa"/>
            <w:vAlign w:val="center"/>
          </w:tcPr>
          <w:p w14:paraId="538FA914">
            <w:pPr>
              <w:jc w:val="center"/>
              <w:rPr>
                <w:lang w:eastAsia="en-US"/>
              </w:rPr>
            </w:pPr>
            <w:r>
              <w:rPr>
                <w:rFonts w:ascii="Times New Roman" w:hAnsi="Times New Roman" w:eastAsia="宋体"/>
                <w:b w:val="0"/>
                <w:sz w:val="18"/>
                <w:lang w:eastAsia="en-US"/>
              </w:rPr>
              <w:t>0.6363</w:t>
            </w:r>
          </w:p>
        </w:tc>
        <w:tc>
          <w:tcPr>
            <w:tcW w:w="1531" w:type="dxa"/>
            <w:vAlign w:val="center"/>
          </w:tcPr>
          <w:p w14:paraId="43DCBD5E">
            <w:pPr>
              <w:jc w:val="center"/>
              <w:rPr>
                <w:lang w:eastAsia="en-US"/>
              </w:rPr>
            </w:pPr>
            <w:r>
              <w:rPr>
                <w:rFonts w:ascii="Times New Roman" w:hAnsi="Times New Roman" w:eastAsia="宋体"/>
                <w:b w:val="0"/>
                <w:sz w:val="18"/>
                <w:lang w:eastAsia="en-US"/>
              </w:rPr>
              <w:t>0.4879–0.7965</w:t>
            </w:r>
          </w:p>
        </w:tc>
      </w:tr>
    </w:tbl>
    <w:p w14:paraId="36B7255A">
      <w:pPr>
        <w:jc w:val="center"/>
      </w:pPr>
      <w:r>
        <w:rPr>
          <w:rFonts w:ascii="Times New Roman" w:hAnsi="Times New Roman" w:eastAsia="宋体"/>
          <w:b/>
          <w:sz w:val="21"/>
        </w:rPr>
        <w:t>表 6 毫米波特征的场次级描述统计（110 个实验场次）</w:t>
      </w:r>
    </w:p>
    <w:p w14:paraId="68275358">
      <w:pPr>
        <w:jc w:val="center"/>
      </w:pPr>
      <w:r>
        <w:rPr>
          <w:rFonts w:ascii="Times New Roman" w:hAnsi="Times New Roman" w:eastAsia="宋体"/>
          <w:b w:val="0"/>
          <w:sz w:val="18"/>
        </w:rPr>
        <w:t>注：场次级统计先取每个实验场次内全部探针窗口的中位数，再对 110 个场次计算。</w:t>
      </w:r>
    </w:p>
    <w:p w14:paraId="5A7C2CA2">
      <w:pPr>
        <w:ind w:firstLine="420"/>
        <w:jc w:val="both"/>
      </w:pPr>
      <w:r>
        <w:rPr>
          <w:rFonts w:ascii="Times New Roman" w:hAnsi="Times New Roman" w:eastAsia="宋体"/>
          <w:b w:val="0"/>
          <w:sz w:val="21"/>
        </w:rPr>
        <w:t>以 5 名同时佩戴 ECG 与呼吸带的参与者在 100 个探针前 30 s 窗口上核验当前估计器；被试为定向选择，覆盖此前发现的锁半频与数据空洞问题类型，因此该对照用于核验完整链对锁半频的纠正与误差量级，不构成对全部正式场次精度的无偏估计。30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14:paraId="0F0B5C1C">
      <w:pPr>
        <w:jc w:val="center"/>
      </w:pPr>
      <w:r>
        <w:drawing>
          <wp:inline distT="0" distB="0" distL="114300" distR="114300">
            <wp:extent cx="4859655" cy="3168650"/>
            <wp:effectExtent l="0" t="0" r="8890" b="5080"/>
            <wp:docPr id="1688596206" name="Picture 1688596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6" name="Picture 1688596206"/>
                    <pic:cNvPicPr>
                      <a:picLocks noChangeAspect="1"/>
                    </pic:cNvPicPr>
                  </pic:nvPicPr>
                  <pic:blipFill>
                    <a:blip r:embed="rId28"/>
                    <a:stretch>
                      <a:fillRect/>
                    </a:stretch>
                  </pic:blipFill>
                  <pic:spPr>
                    <a:xfrm>
                      <a:off x="0" y="0"/>
                      <a:ext cx="4860000" cy="3168720"/>
                    </a:xfrm>
                    <a:prstGeom prst="rect">
                      <a:avLst/>
                    </a:prstGeom>
                  </pic:spPr>
                </pic:pic>
              </a:graphicData>
            </a:graphic>
          </wp:inline>
        </w:drawing>
      </w:r>
    </w:p>
    <w:p w14:paraId="477A6EA3">
      <w:pPr>
        <w:jc w:val="center"/>
      </w:pPr>
      <w:r>
        <w:rPr>
          <w:rFonts w:ascii="Times New Roman" w:hAnsi="Times New Roman" w:eastAsia="宋体"/>
          <w:b/>
          <w:sz w:val="21"/>
        </w:rPr>
        <w:t>图 18 毫米波融合心率与 ECG 金标准的对照</w:t>
      </w:r>
    </w:p>
    <w:p w14:paraId="337E6817">
      <w:pPr>
        <w:jc w:val="center"/>
      </w:pPr>
      <w:r>
        <w:rPr>
          <w:rFonts w:ascii="Times New Roman" w:hAnsi="Times New Roman" w:eastAsia="宋体"/>
          <w:b w:val="0"/>
          <w:sz w:val="18"/>
        </w:rPr>
        <w:t>注：图为 3 名佩戴 ECG 金标准参与者在 60 个探针前 30 s 窗口上，毫米波融合心率与 ECG 心率的 Bland-Altman 对照，偏倚 = −6.4 bpm，95% 一致性界限为 −28.6 至 15.8 bpm。</w:t>
      </w:r>
    </w:p>
    <w:p w14:paraId="696AF52B">
      <w:pPr>
        <w:ind w:firstLine="420"/>
        <w:jc w:val="both"/>
      </w:pPr>
      <w:r>
        <w:rPr>
          <w:rFonts w:ascii="Times New Roman" w:hAnsi="Times New Roman" w:eastAsia="宋体"/>
          <w:b w:val="0"/>
          <w:sz w:val="21"/>
        </w:rPr>
        <w:t>16 个任务区块的逐搏对照显示，±75 ms 容差下逐搏识别的灵敏度为 0.145、精确率为 0.182（±150 ms 容差下为 0.317 与 0.398），尚不足以支持逐搏间期与心率变异性指标的解释，因此本报告不报告相关结果。</w:t>
      </w:r>
    </w:p>
    <w:p w14:paraId="3E55BD84">
      <w:pPr>
        <w:pStyle w:val="5"/>
      </w:pPr>
      <w:r>
        <w:t>5.4.2 呼吸、心搏相关变化与身体运动</w:t>
      </w:r>
    </w:p>
    <w:p w14:paraId="3D0CAC86">
      <w:pPr>
        <w:ind w:firstLine="420"/>
        <w:jc w:val="both"/>
      </w:pPr>
      <w:r>
        <w:rPr>
          <w:rFonts w:ascii="Times New Roman" w:hAnsi="Times New Roman" w:eastAsia="宋体"/>
          <w:b w:val="0"/>
          <w:sz w:val="21"/>
        </w:rPr>
        <w:t>B1 与 B2 区块的融合心率中位数分别为 76.49 与 75.58 bpm，呼吸频率中位数均为 20.0 次/分，运动代理中位数均为 0.027，两个任务区块的毫米波特征水平接近。三种心率估计在场次级中位数上接近（融合 76.24、频域 72.46、时域 77.55 bpm）。</w:t>
      </w:r>
    </w:p>
    <w:p w14:paraId="1C5D9BB9">
      <w:pPr>
        <w:jc w:val="center"/>
      </w:pPr>
      <w:r>
        <w:drawing>
          <wp:inline distT="0" distB="0" distL="114300" distR="114300">
            <wp:extent cx="4859655" cy="2009140"/>
            <wp:effectExtent l="0" t="0" r="8890" b="9525"/>
            <wp:docPr id="1688596207" name="Picture 1688596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7" name="Picture 1688596207"/>
                    <pic:cNvPicPr>
                      <a:picLocks noChangeAspect="1"/>
                    </pic:cNvPicPr>
                  </pic:nvPicPr>
                  <pic:blipFill>
                    <a:blip r:embed="rId29"/>
                    <a:stretch>
                      <a:fillRect/>
                    </a:stretch>
                  </pic:blipFill>
                  <pic:spPr>
                    <a:xfrm>
                      <a:off x="0" y="0"/>
                      <a:ext cx="4860000" cy="2009423"/>
                    </a:xfrm>
                    <a:prstGeom prst="rect">
                      <a:avLst/>
                    </a:prstGeom>
                  </pic:spPr>
                </pic:pic>
              </a:graphicData>
            </a:graphic>
          </wp:inline>
        </w:drawing>
      </w:r>
    </w:p>
    <w:p w14:paraId="2DECBB71">
      <w:pPr>
        <w:jc w:val="center"/>
      </w:pPr>
      <w:r>
        <w:rPr>
          <w:rFonts w:ascii="Times New Roman" w:hAnsi="Times New Roman" w:eastAsia="宋体"/>
          <w:b/>
          <w:sz w:val="21"/>
        </w:rPr>
        <w:t>图 19 心率融合估计机制</w:t>
      </w:r>
    </w:p>
    <w:p w14:paraId="357B1A55">
      <w:pPr>
        <w:jc w:val="center"/>
      </w:pPr>
      <w:r>
        <w:rPr>
          <w:rFonts w:ascii="Times New Roman" w:hAnsi="Times New Roman" w:eastAsia="宋体"/>
          <w:b w:val="0"/>
          <w:sz w:val="18"/>
        </w:rPr>
        <w:t>注：A 为频域谱峰单独估计与完整链（融合后）心率相对 ECG 的散点；B 为两路估计绝对误差的分布。</w:t>
      </w:r>
    </w:p>
    <w:p w14:paraId="5A416F57">
      <w:pPr>
        <w:pStyle w:val="5"/>
      </w:pPr>
      <w:r>
        <w:t>5.4.3 毫米波特征与行为及思维探针的关系</w:t>
      </w:r>
    </w:p>
    <w:p w14:paraId="65B82C9A">
      <w:pPr>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14:paraId="73E32E34">
      <w:pPr>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14:paraId="5F478C80">
      <w:pPr>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14:paraId="7523A8BA">
      <w:pPr>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14:paraId="654E35B1">
      <w:pPr>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14:paraId="13565BF1">
      <w:pPr>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pPr>
        <w:pStyle w:val="4"/>
        <w:rPr>
          <w:bCs/>
          <w:lang w:eastAsia="zh-CN"/>
        </w:rPr>
      </w:pPr>
      <w:r>
        <w:rPr>
          <w:rFonts w:hint="eastAsia"/>
          <w:bCs/>
          <w:lang w:eastAsia="zh-CN"/>
        </w:rPr>
        <w:t>5.5 RGB 可见行为结果</w:t>
      </w:r>
    </w:p>
    <w:p w14:paraId="4BBDCAF0">
      <w:pPr>
        <w:pStyle w:val="5"/>
      </w:pPr>
      <w:r>
        <w:t>5.5.1 整体运动与画面亮度变化</w:t>
      </w:r>
    </w:p>
    <w:p w14:paraId="3C5AB9D9">
      <w:pPr>
        <w:ind w:firstLine="420"/>
        <w:jc w:val="both"/>
      </w:pPr>
      <w:r>
        <w:rPr>
          <w:rFonts w:ascii="Times New Roman" w:hAnsi="Times New Roman" w:eastAsia="宋体"/>
          <w:b w:val="0"/>
          <w:sz w:val="21"/>
        </w:rPr>
        <w:t>RGB 可见行为分析以 116 个实验场次的正式队列为口径，其中 115 个场次具有可用视频记录（1 个场次无 RGB 源），共形成 2,320 个探针前 30 s 窗口观测。身体运动、曝光变化、姿态方向与眨眼候选按探针前窗口和 Block 内时间进程两个尺度汇总，探针前窗口严格排除探针锚定试次及其后的帧。</w:t>
      </w:r>
    </w:p>
    <w:p w14:paraId="3D1C4F9F">
      <w:pPr>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20）。运动能量、曝光变化与 Q1 注意内容、Q2 警觉程度及近期行为指标的关联中，各系数 95% CI 均包含 0；与毫米波运动代理、心率与呼吸频率的窗口级对照同样未出现 95% CI 不含 0 的关联。</w:t>
      </w:r>
    </w:p>
    <w:p w14:paraId="318C5F15">
      <w:pPr>
        <w:jc w:val="center"/>
      </w:pPr>
      <w:r>
        <w:drawing>
          <wp:inline distT="0" distB="0" distL="114300" distR="114300">
            <wp:extent cx="4859655" cy="4244340"/>
            <wp:effectExtent l="0" t="0" r="8890" b="8890"/>
            <wp:docPr id="1688596208" name="Picture 1688596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8" name="Picture 1688596208"/>
                    <pic:cNvPicPr>
                      <a:picLocks noChangeAspect="1"/>
                    </pic:cNvPicPr>
                  </pic:nvPicPr>
                  <pic:blipFill>
                    <a:blip r:embed="rId30"/>
                    <a:stretch>
                      <a:fillRect/>
                    </a:stretch>
                  </pic:blipFill>
                  <pic:spPr>
                    <a:xfrm>
                      <a:off x="0" y="0"/>
                      <a:ext cx="4860000" cy="4244778"/>
                    </a:xfrm>
                    <a:prstGeom prst="rect">
                      <a:avLst/>
                    </a:prstGeom>
                  </pic:spPr>
                </pic:pic>
              </a:graphicData>
            </a:graphic>
          </wp:inline>
        </w:drawing>
      </w:r>
    </w:p>
    <w:p w14:paraId="036E3AC7">
      <w:pPr>
        <w:jc w:val="center"/>
      </w:pPr>
      <w:r>
        <w:rPr>
          <w:rFonts w:ascii="Times New Roman" w:hAnsi="Times New Roman" w:eastAsia="宋体"/>
          <w:b/>
          <w:sz w:val="21"/>
        </w:rPr>
        <w:t>图 20 RGB 运动能量与曝光变化的任务进程</w:t>
      </w:r>
    </w:p>
    <w:p w14:paraId="7C253AC2">
      <w:pPr>
        <w:jc w:val="center"/>
      </w:pPr>
      <w:r>
        <w:rPr>
          <w:rFonts w:ascii="Times New Roman" w:hAnsi="Times New Roman" w:eastAsia="宋体"/>
          <w:b w:val="0"/>
          <w:sz w:val="18"/>
        </w:rPr>
        <w:t>注：A、B 为运动能量与曝光变化的 B1/B2 配对；C、D 为 Block×cycle 轨迹（参与者均值 ± 标准误）。</w:t>
      </w:r>
    </w:p>
    <w:p w14:paraId="5C4E4C6D">
      <w:pPr>
        <w:pStyle w:val="5"/>
      </w:pPr>
      <w:r>
        <w:t>5.5.2 姿态与方向性运动</w:t>
      </w:r>
    </w:p>
    <w:p w14:paraId="5790AFD0">
      <w:pPr>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14:paraId="42512EA8">
      <w:pPr>
        <w:jc w:val="center"/>
      </w:pPr>
      <w:r>
        <w:drawing>
          <wp:inline distT="0" distB="0" distL="114300" distR="114300">
            <wp:extent cx="4859655" cy="1824355"/>
            <wp:effectExtent l="0" t="0" r="8890" b="0"/>
            <wp:docPr id="1688596209" name="Picture 1688596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9" name="Picture 1688596209"/>
                    <pic:cNvPicPr>
                      <a:picLocks noChangeAspect="1"/>
                    </pic:cNvPicPr>
                  </pic:nvPicPr>
                  <pic:blipFill>
                    <a:blip r:embed="rId31"/>
                    <a:stretch>
                      <a:fillRect/>
                    </a:stretch>
                  </pic:blipFill>
                  <pic:spPr>
                    <a:xfrm>
                      <a:off x="0" y="0"/>
                      <a:ext cx="4860000" cy="1824512"/>
                    </a:xfrm>
                    <a:prstGeom prst="rect">
                      <a:avLst/>
                    </a:prstGeom>
                  </pic:spPr>
                </pic:pic>
              </a:graphicData>
            </a:graphic>
          </wp:inline>
        </w:drawing>
      </w:r>
    </w:p>
    <w:p w14:paraId="670ACFD5">
      <w:pPr>
        <w:jc w:val="center"/>
      </w:pPr>
      <w:r>
        <w:rPr>
          <w:rFonts w:ascii="Times New Roman" w:hAnsi="Times New Roman" w:eastAsia="宋体"/>
          <w:b/>
          <w:sz w:val="21"/>
        </w:rPr>
        <w:t>图 21 RGB 姿态方向候选的分布</w:t>
      </w:r>
    </w:p>
    <w:p w14:paraId="06A8F5E8">
      <w:pPr>
        <w:jc w:val="center"/>
      </w:pPr>
      <w:r>
        <w:rPr>
          <w:rFonts w:ascii="Times New Roman" w:hAnsi="Times New Roman" w:eastAsia="宋体"/>
          <w:b w:val="0"/>
          <w:sz w:val="18"/>
        </w:rPr>
        <w:t>注：左右、上下方向运动与复合前后方向候选（图像内无量纲）在探针前窗口的分布。</w:t>
      </w:r>
    </w:p>
    <w:p w14:paraId="4C273DE5">
      <w:pPr>
        <w:pStyle w:val="5"/>
      </w:pPr>
      <w:r>
        <w:rPr>
          <w:rFonts w:hint="eastAsia"/>
        </w:rPr>
        <w:t>5.5.3 眨眼候选事件</w:t>
      </w:r>
    </w:p>
    <w:p w14:paraId="096BBA3B">
      <w:pPr>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14:paraId="6055F1C8">
      <w:pPr>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14:paraId="6E3718F1">
      <w:pPr>
        <w:jc w:val="center"/>
      </w:pPr>
      <w:r>
        <w:drawing>
          <wp:inline distT="0" distB="0" distL="114300" distR="114300">
            <wp:extent cx="4859655" cy="1835785"/>
            <wp:effectExtent l="0" t="0" r="8890" b="10160"/>
            <wp:docPr id="1688596210" name="Picture 16885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0" name="Picture 1688596210"/>
                    <pic:cNvPicPr>
                      <a:picLocks noChangeAspect="1"/>
                    </pic:cNvPicPr>
                  </pic:nvPicPr>
                  <pic:blipFill>
                    <a:blip r:embed="rId32"/>
                    <a:stretch>
                      <a:fillRect/>
                    </a:stretch>
                  </pic:blipFill>
                  <pic:spPr>
                    <a:xfrm>
                      <a:off x="0" y="0"/>
                      <a:ext cx="4860000" cy="1835910"/>
                    </a:xfrm>
                    <a:prstGeom prst="rect">
                      <a:avLst/>
                    </a:prstGeom>
                  </pic:spPr>
                </pic:pic>
              </a:graphicData>
            </a:graphic>
          </wp:inline>
        </w:drawing>
      </w:r>
    </w:p>
    <w:p w14:paraId="3CA4B8EA">
      <w:pPr>
        <w:jc w:val="center"/>
      </w:pPr>
      <w:r>
        <w:rPr>
          <w:rFonts w:ascii="Times New Roman" w:hAnsi="Times New Roman" w:eastAsia="宋体"/>
          <w:b/>
          <w:sz w:val="21"/>
        </w:rPr>
        <w:t>图 22 RGB 眨眼候选事件的分布</w:t>
      </w:r>
    </w:p>
    <w:p w14:paraId="256DDE48">
      <w:pPr>
        <w:jc w:val="center"/>
      </w:pPr>
      <w:r>
        <w:rPr>
          <w:rFonts w:ascii="Times New Roman" w:hAnsi="Times New Roman" w:eastAsia="宋体"/>
          <w:b w:val="0"/>
          <w:sz w:val="18"/>
        </w:rPr>
        <w:t>注：A、B、C 分别为眨眼候选事件场次级频率、时长与间隔分布；数据覆盖见图 23。</w:t>
      </w:r>
    </w:p>
    <w:p w14:paraId="7E66D4BD">
      <w:pPr>
        <w:jc w:val="center"/>
      </w:pPr>
      <w:r>
        <w:drawing>
          <wp:inline distT="0" distB="0" distL="114300" distR="114300">
            <wp:extent cx="4859655" cy="2378710"/>
            <wp:effectExtent l="0" t="0" r="8890" b="6985"/>
            <wp:docPr id="1688596211" name="Picture 1688596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1" name="Picture 1688596211"/>
                    <pic:cNvPicPr>
                      <a:picLocks noChangeAspect="1"/>
                    </pic:cNvPicPr>
                  </pic:nvPicPr>
                  <pic:blipFill>
                    <a:blip r:embed="rId33"/>
                    <a:stretch>
                      <a:fillRect/>
                    </a:stretch>
                  </pic:blipFill>
                  <pic:spPr>
                    <a:xfrm>
                      <a:off x="0" y="0"/>
                      <a:ext cx="4860000" cy="2378830"/>
                    </a:xfrm>
                    <a:prstGeom prst="rect">
                      <a:avLst/>
                    </a:prstGeom>
                  </pic:spPr>
                </pic:pic>
              </a:graphicData>
            </a:graphic>
          </wp:inline>
        </w:drawing>
      </w:r>
    </w:p>
    <w:p w14:paraId="7A6B14C9">
      <w:pPr>
        <w:jc w:val="center"/>
      </w:pPr>
      <w:r>
        <w:rPr>
          <w:rFonts w:ascii="Times New Roman" w:hAnsi="Times New Roman" w:eastAsia="宋体"/>
          <w:b/>
          <w:sz w:val="21"/>
        </w:rPr>
        <w:t>图 23 RGB 各分析轨道的场次级可观测覆盖</w:t>
      </w:r>
    </w:p>
    <w:p w14:paraId="1D2FE94F">
      <w:pPr>
        <w:jc w:val="center"/>
      </w:pPr>
      <w:r>
        <w:rPr>
          <w:rFonts w:ascii="Times New Roman" w:hAnsi="Times New Roman" w:eastAsia="宋体"/>
          <w:b w:val="0"/>
          <w:sz w:val="18"/>
        </w:rPr>
        <w:t>注：运动、曝光、肩部、左右眼与双眼一致性六轨的场次级可观测帧比例。</w:t>
      </w:r>
    </w:p>
    <w:p w14:paraId="383D15DD">
      <w:pPr>
        <w:pStyle w:val="4"/>
        <w:rPr>
          <w:lang w:eastAsia="zh-CN"/>
        </w:rPr>
      </w:pPr>
      <w:r>
        <w:rPr>
          <w:lang w:eastAsia="zh-CN"/>
        </w:rPr>
        <w:t>5.6 多模态增量与互补信息</w:t>
      </w:r>
    </w:p>
    <w:p w14:paraId="7921253E">
      <w:pPr>
        <w:pStyle w:val="5"/>
      </w:pPr>
      <w:r>
        <w:t>5.6.1 共同样本与基准模型</w:t>
      </w:r>
    </w:p>
    <w:p w14:paraId="601B5C72">
      <w:pPr>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14:paraId="2847638C">
      <w:pPr>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pPr>
        <w:pStyle w:val="5"/>
      </w:pPr>
      <w:r>
        <w:t>5.6.2 单模态、双模态与完整多模态增量</w:t>
      </w:r>
    </w:p>
    <w:p w14:paraId="7BA054FC">
      <w:pPr>
        <w:ind w:firstLine="420"/>
        <w:jc w:val="both"/>
      </w:pPr>
      <w:r>
        <w:rPr>
          <w:rFonts w:ascii="Times New Roman" w:hAnsi="Times New Roman" w:eastAsia="宋体"/>
          <w:b w:val="0"/>
          <w:sz w:val="21"/>
        </w:rPr>
        <w:t>在基准之上依次加入 NIR、毫米波与 RGB 特征，比较三个单模态、三个双模态与完整三模态组合共八种模型（表 7，增量见图 24）。相对基准的逐折配对差异以折为观测进行参与者级重抽样获得 95% CI。</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4"/>
        <w:gridCol w:w="1134"/>
        <w:gridCol w:w="1134"/>
        <w:gridCol w:w="1134"/>
        <w:gridCol w:w="1134"/>
        <w:gridCol w:w="1134"/>
        <w:gridCol w:w="1134"/>
      </w:tblGrid>
      <w:tr w14:paraId="4F6DE1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tcBorders>
              <w:bottom w:val="single" w:color="auto" w:sz="6" w:space="0"/>
            </w:tcBorders>
            <w:vAlign w:val="center"/>
          </w:tcPr>
          <w:p w14:paraId="76B48A4C">
            <w:pPr>
              <w:jc w:val="center"/>
              <w:rPr>
                <w:lang w:eastAsia="en-US"/>
              </w:rPr>
            </w:pPr>
            <w:r>
              <w:rPr>
                <w:rFonts w:ascii="Times New Roman" w:hAnsi="Times New Roman" w:eastAsia="宋体"/>
                <w:b/>
                <w:sz w:val="18"/>
                <w:lang w:eastAsia="en-US"/>
              </w:rPr>
              <w:t>组合</w:t>
            </w:r>
          </w:p>
        </w:tc>
        <w:tc>
          <w:tcPr>
            <w:tcW w:w="1134" w:type="dxa"/>
            <w:tcBorders>
              <w:bottom w:val="single" w:color="auto" w:sz="6" w:space="0"/>
            </w:tcBorders>
            <w:vAlign w:val="center"/>
          </w:tcPr>
          <w:p w14:paraId="68302E3F">
            <w:pPr>
              <w:jc w:val="center"/>
              <w:rPr>
                <w:lang w:eastAsia="en-US"/>
              </w:rPr>
            </w:pPr>
            <w:r>
              <w:rPr>
                <w:rFonts w:ascii="Times New Roman" w:hAnsi="Times New Roman" w:eastAsia="宋体"/>
                <w:b/>
                <w:sz w:val="18"/>
                <w:lang w:eastAsia="en-US"/>
              </w:rPr>
              <w:t>Q1 AUC</w:t>
            </w:r>
          </w:p>
        </w:tc>
        <w:tc>
          <w:tcPr>
            <w:tcW w:w="1134" w:type="dxa"/>
            <w:tcBorders>
              <w:bottom w:val="single" w:color="auto" w:sz="6" w:space="0"/>
            </w:tcBorders>
            <w:vAlign w:val="center"/>
          </w:tcPr>
          <w:p w14:paraId="7A2D5E73">
            <w:pPr>
              <w:jc w:val="center"/>
              <w:rPr>
                <w:lang w:eastAsia="en-US"/>
              </w:rPr>
            </w:pPr>
            <w:r>
              <w:rPr>
                <w:rFonts w:ascii="Times New Roman" w:hAnsi="Times New Roman" w:eastAsia="宋体"/>
                <w:b/>
                <w:sz w:val="18"/>
                <w:lang w:eastAsia="en-US"/>
              </w:rPr>
              <w:t>Q1 平衡准确率</w:t>
            </w:r>
          </w:p>
        </w:tc>
        <w:tc>
          <w:tcPr>
            <w:tcW w:w="1134" w:type="dxa"/>
            <w:tcBorders>
              <w:bottom w:val="single" w:color="auto" w:sz="6" w:space="0"/>
            </w:tcBorders>
            <w:vAlign w:val="center"/>
          </w:tcPr>
          <w:p w14:paraId="327E7864">
            <w:pPr>
              <w:jc w:val="center"/>
              <w:rPr>
                <w:lang w:eastAsia="en-US"/>
              </w:rPr>
            </w:pPr>
            <w:r>
              <w:rPr>
                <w:rFonts w:ascii="Times New Roman" w:hAnsi="Times New Roman" w:eastAsia="宋体"/>
                <w:b/>
                <w:sz w:val="18"/>
                <w:lang w:eastAsia="en-US"/>
              </w:rPr>
              <w:t>Q1 宏 F1</w:t>
            </w:r>
          </w:p>
        </w:tc>
        <w:tc>
          <w:tcPr>
            <w:tcW w:w="1134" w:type="dxa"/>
            <w:tcBorders>
              <w:bottom w:val="single" w:color="auto" w:sz="6" w:space="0"/>
            </w:tcBorders>
            <w:vAlign w:val="center"/>
          </w:tcPr>
          <w:p w14:paraId="511272BA">
            <w:pPr>
              <w:jc w:val="center"/>
              <w:rPr>
                <w:lang w:eastAsia="en-US"/>
              </w:rPr>
            </w:pPr>
            <w:r>
              <w:rPr>
                <w:rFonts w:ascii="Times New Roman" w:hAnsi="Times New Roman" w:eastAsia="宋体"/>
                <w:b/>
                <w:sz w:val="18"/>
                <w:lang w:eastAsia="en-US"/>
              </w:rPr>
              <w:t>Q2 AUC</w:t>
            </w:r>
          </w:p>
        </w:tc>
        <w:tc>
          <w:tcPr>
            <w:tcW w:w="1134" w:type="dxa"/>
            <w:tcBorders>
              <w:bottom w:val="single" w:color="auto" w:sz="6" w:space="0"/>
            </w:tcBorders>
            <w:vAlign w:val="center"/>
          </w:tcPr>
          <w:p w14:paraId="16DDBC46">
            <w:pPr>
              <w:jc w:val="center"/>
              <w:rPr>
                <w:lang w:eastAsia="en-US"/>
              </w:rPr>
            </w:pPr>
            <w:r>
              <w:rPr>
                <w:rFonts w:ascii="Times New Roman" w:hAnsi="Times New Roman" w:eastAsia="宋体"/>
                <w:b/>
                <w:sz w:val="18"/>
                <w:lang w:eastAsia="en-US"/>
              </w:rPr>
              <w:t>Q2 平衡准确率</w:t>
            </w:r>
          </w:p>
        </w:tc>
        <w:tc>
          <w:tcPr>
            <w:tcW w:w="1134" w:type="dxa"/>
            <w:tcBorders>
              <w:bottom w:val="single" w:color="auto" w:sz="6" w:space="0"/>
            </w:tcBorders>
            <w:vAlign w:val="center"/>
          </w:tcPr>
          <w:p w14:paraId="52CBAECF">
            <w:pPr>
              <w:jc w:val="center"/>
              <w:rPr>
                <w:lang w:eastAsia="en-US"/>
              </w:rPr>
            </w:pPr>
            <w:r>
              <w:rPr>
                <w:rFonts w:ascii="Times New Roman" w:hAnsi="Times New Roman" w:eastAsia="宋体"/>
                <w:b/>
                <w:sz w:val="18"/>
                <w:lang w:eastAsia="en-US"/>
              </w:rPr>
              <w:t>Q2 宏 F1</w:t>
            </w:r>
          </w:p>
        </w:tc>
      </w:tr>
      <w:tr w14:paraId="07CA44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4BF0EA1D">
            <w:pPr>
              <w:jc w:val="center"/>
              <w:rPr>
                <w:lang w:eastAsia="en-US"/>
              </w:rPr>
            </w:pPr>
            <w:r>
              <w:rPr>
                <w:rFonts w:ascii="Times New Roman" w:hAnsi="Times New Roman" w:eastAsia="宋体"/>
                <w:b w:val="0"/>
                <w:sz w:val="18"/>
                <w:lang w:eastAsia="en-US"/>
              </w:rPr>
              <w:t>M0 行为基准</w:t>
            </w:r>
          </w:p>
        </w:tc>
        <w:tc>
          <w:tcPr>
            <w:tcW w:w="1134" w:type="dxa"/>
            <w:vAlign w:val="center"/>
          </w:tcPr>
          <w:p w14:paraId="36542B3D">
            <w:pPr>
              <w:jc w:val="center"/>
              <w:rPr>
                <w:lang w:eastAsia="en-US"/>
              </w:rPr>
            </w:pPr>
            <w:r>
              <w:rPr>
                <w:rFonts w:ascii="Times New Roman" w:hAnsi="Times New Roman" w:eastAsia="宋体"/>
                <w:b w:val="0"/>
                <w:sz w:val="18"/>
                <w:lang w:eastAsia="en-US"/>
              </w:rPr>
              <w:t>0.668</w:t>
            </w:r>
          </w:p>
        </w:tc>
        <w:tc>
          <w:tcPr>
            <w:tcW w:w="1134" w:type="dxa"/>
            <w:vAlign w:val="center"/>
          </w:tcPr>
          <w:p w14:paraId="4A0C61F9">
            <w:pPr>
              <w:jc w:val="center"/>
              <w:rPr>
                <w:lang w:eastAsia="en-US"/>
              </w:rPr>
            </w:pPr>
            <w:r>
              <w:rPr>
                <w:rFonts w:ascii="Times New Roman" w:hAnsi="Times New Roman" w:eastAsia="宋体"/>
                <w:b w:val="0"/>
                <w:sz w:val="18"/>
                <w:lang w:eastAsia="en-US"/>
              </w:rPr>
              <w:t>0.475</w:t>
            </w:r>
          </w:p>
        </w:tc>
        <w:tc>
          <w:tcPr>
            <w:tcW w:w="1134" w:type="dxa"/>
            <w:vAlign w:val="center"/>
          </w:tcPr>
          <w:p w14:paraId="40014DC3">
            <w:pPr>
              <w:jc w:val="center"/>
              <w:rPr>
                <w:lang w:eastAsia="en-US"/>
              </w:rPr>
            </w:pPr>
            <w:r>
              <w:rPr>
                <w:rFonts w:ascii="Times New Roman" w:hAnsi="Times New Roman" w:eastAsia="宋体"/>
                <w:b w:val="0"/>
                <w:sz w:val="18"/>
                <w:lang w:eastAsia="en-US"/>
              </w:rPr>
              <w:t>0.389</w:t>
            </w:r>
          </w:p>
        </w:tc>
        <w:tc>
          <w:tcPr>
            <w:tcW w:w="1134" w:type="dxa"/>
            <w:vAlign w:val="center"/>
          </w:tcPr>
          <w:p w14:paraId="4A27F495">
            <w:pPr>
              <w:jc w:val="center"/>
              <w:rPr>
                <w:lang w:eastAsia="en-US"/>
              </w:rPr>
            </w:pPr>
            <w:r>
              <w:rPr>
                <w:rFonts w:ascii="Times New Roman" w:hAnsi="Times New Roman" w:eastAsia="宋体"/>
                <w:b w:val="0"/>
                <w:sz w:val="18"/>
                <w:lang w:eastAsia="en-US"/>
              </w:rPr>
              <w:t>0.593</w:t>
            </w:r>
          </w:p>
        </w:tc>
        <w:tc>
          <w:tcPr>
            <w:tcW w:w="1134" w:type="dxa"/>
            <w:vAlign w:val="center"/>
          </w:tcPr>
          <w:p w14:paraId="72C54397">
            <w:pPr>
              <w:jc w:val="center"/>
              <w:rPr>
                <w:lang w:eastAsia="en-US"/>
              </w:rPr>
            </w:pPr>
            <w:r>
              <w:rPr>
                <w:rFonts w:ascii="Times New Roman" w:hAnsi="Times New Roman" w:eastAsia="宋体"/>
                <w:b w:val="0"/>
                <w:sz w:val="18"/>
                <w:lang w:eastAsia="en-US"/>
              </w:rPr>
              <w:t>0.367</w:t>
            </w:r>
          </w:p>
        </w:tc>
        <w:tc>
          <w:tcPr>
            <w:tcW w:w="1134" w:type="dxa"/>
            <w:vAlign w:val="center"/>
          </w:tcPr>
          <w:p w14:paraId="1D80B6D2">
            <w:pPr>
              <w:jc w:val="center"/>
              <w:rPr>
                <w:lang w:eastAsia="en-US"/>
              </w:rPr>
            </w:pPr>
            <w:r>
              <w:rPr>
                <w:rFonts w:ascii="Times New Roman" w:hAnsi="Times New Roman" w:eastAsia="宋体"/>
                <w:b w:val="0"/>
                <w:sz w:val="18"/>
                <w:lang w:eastAsia="en-US"/>
              </w:rPr>
              <w:t>0.230</w:t>
            </w:r>
          </w:p>
        </w:tc>
      </w:tr>
      <w:tr w14:paraId="1AE5A8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3CF607B3">
            <w:pPr>
              <w:jc w:val="center"/>
              <w:rPr>
                <w:lang w:eastAsia="en-US"/>
              </w:rPr>
            </w:pPr>
            <w:r>
              <w:rPr>
                <w:rFonts w:ascii="Times New Roman" w:hAnsi="Times New Roman" w:eastAsia="宋体"/>
                <w:b w:val="0"/>
                <w:sz w:val="18"/>
                <w:lang w:eastAsia="en-US"/>
              </w:rPr>
              <w:t>M1 +NIR</w:t>
            </w:r>
          </w:p>
        </w:tc>
        <w:tc>
          <w:tcPr>
            <w:tcW w:w="1134" w:type="dxa"/>
            <w:vAlign w:val="center"/>
          </w:tcPr>
          <w:p w14:paraId="6773380F">
            <w:pPr>
              <w:jc w:val="center"/>
              <w:rPr>
                <w:lang w:eastAsia="en-US"/>
              </w:rPr>
            </w:pPr>
            <w:r>
              <w:rPr>
                <w:rFonts w:ascii="Times New Roman" w:hAnsi="Times New Roman" w:eastAsia="宋体"/>
                <w:b w:val="0"/>
                <w:sz w:val="18"/>
                <w:lang w:eastAsia="en-US"/>
              </w:rPr>
              <w:t>0.677</w:t>
            </w:r>
          </w:p>
        </w:tc>
        <w:tc>
          <w:tcPr>
            <w:tcW w:w="1134" w:type="dxa"/>
            <w:vAlign w:val="center"/>
          </w:tcPr>
          <w:p w14:paraId="18EB60AF">
            <w:pPr>
              <w:jc w:val="center"/>
              <w:rPr>
                <w:lang w:eastAsia="en-US"/>
              </w:rPr>
            </w:pPr>
            <w:r>
              <w:rPr>
                <w:rFonts w:ascii="Times New Roman" w:hAnsi="Times New Roman" w:eastAsia="宋体"/>
                <w:b w:val="0"/>
                <w:sz w:val="18"/>
                <w:lang w:eastAsia="en-US"/>
              </w:rPr>
              <w:t>0.475</w:t>
            </w:r>
          </w:p>
        </w:tc>
        <w:tc>
          <w:tcPr>
            <w:tcW w:w="1134" w:type="dxa"/>
            <w:vAlign w:val="center"/>
          </w:tcPr>
          <w:p w14:paraId="010D8015">
            <w:pPr>
              <w:jc w:val="center"/>
              <w:rPr>
                <w:lang w:eastAsia="en-US"/>
              </w:rPr>
            </w:pPr>
            <w:r>
              <w:rPr>
                <w:rFonts w:ascii="Times New Roman" w:hAnsi="Times New Roman" w:eastAsia="宋体"/>
                <w:b w:val="0"/>
                <w:sz w:val="18"/>
                <w:lang w:eastAsia="en-US"/>
              </w:rPr>
              <w:t>0.397</w:t>
            </w:r>
          </w:p>
        </w:tc>
        <w:tc>
          <w:tcPr>
            <w:tcW w:w="1134" w:type="dxa"/>
            <w:vAlign w:val="center"/>
          </w:tcPr>
          <w:p w14:paraId="01038A62">
            <w:pPr>
              <w:jc w:val="center"/>
              <w:rPr>
                <w:lang w:eastAsia="en-US"/>
              </w:rPr>
            </w:pPr>
            <w:r>
              <w:rPr>
                <w:rFonts w:ascii="Times New Roman" w:hAnsi="Times New Roman" w:eastAsia="宋体"/>
                <w:b w:val="0"/>
                <w:sz w:val="18"/>
                <w:lang w:eastAsia="en-US"/>
              </w:rPr>
              <w:t>0.592</w:t>
            </w:r>
          </w:p>
        </w:tc>
        <w:tc>
          <w:tcPr>
            <w:tcW w:w="1134" w:type="dxa"/>
            <w:vAlign w:val="center"/>
          </w:tcPr>
          <w:p w14:paraId="5C8AAB23">
            <w:pPr>
              <w:jc w:val="center"/>
              <w:rPr>
                <w:lang w:eastAsia="en-US"/>
              </w:rPr>
            </w:pPr>
            <w:r>
              <w:rPr>
                <w:rFonts w:ascii="Times New Roman" w:hAnsi="Times New Roman" w:eastAsia="宋体"/>
                <w:b w:val="0"/>
                <w:sz w:val="18"/>
                <w:lang w:eastAsia="en-US"/>
              </w:rPr>
              <w:t>0.370</w:t>
            </w:r>
          </w:p>
        </w:tc>
        <w:tc>
          <w:tcPr>
            <w:tcW w:w="1134" w:type="dxa"/>
            <w:vAlign w:val="center"/>
          </w:tcPr>
          <w:p w14:paraId="27E85608">
            <w:pPr>
              <w:jc w:val="center"/>
              <w:rPr>
                <w:lang w:eastAsia="en-US"/>
              </w:rPr>
            </w:pPr>
            <w:r>
              <w:rPr>
                <w:rFonts w:ascii="Times New Roman" w:hAnsi="Times New Roman" w:eastAsia="宋体"/>
                <w:b w:val="0"/>
                <w:sz w:val="18"/>
                <w:lang w:eastAsia="en-US"/>
              </w:rPr>
              <w:t>0.235</w:t>
            </w:r>
          </w:p>
        </w:tc>
      </w:tr>
      <w:tr w14:paraId="676745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425D52F">
            <w:pPr>
              <w:jc w:val="center"/>
              <w:rPr>
                <w:lang w:eastAsia="en-US"/>
              </w:rPr>
            </w:pPr>
            <w:r>
              <w:rPr>
                <w:rFonts w:ascii="Times New Roman" w:hAnsi="Times New Roman" w:eastAsia="宋体"/>
                <w:b w:val="0"/>
                <w:sz w:val="18"/>
                <w:lang w:eastAsia="en-US"/>
              </w:rPr>
              <w:t>M2 +毫米波</w:t>
            </w:r>
          </w:p>
        </w:tc>
        <w:tc>
          <w:tcPr>
            <w:tcW w:w="1134" w:type="dxa"/>
            <w:vAlign w:val="center"/>
          </w:tcPr>
          <w:p w14:paraId="42A36D9D">
            <w:pPr>
              <w:jc w:val="center"/>
              <w:rPr>
                <w:lang w:eastAsia="en-US"/>
              </w:rPr>
            </w:pPr>
            <w:r>
              <w:rPr>
                <w:rFonts w:ascii="Times New Roman" w:hAnsi="Times New Roman" w:eastAsia="宋体"/>
                <w:b w:val="0"/>
                <w:sz w:val="18"/>
                <w:lang w:eastAsia="en-US"/>
              </w:rPr>
              <w:t>0.657</w:t>
            </w:r>
          </w:p>
        </w:tc>
        <w:tc>
          <w:tcPr>
            <w:tcW w:w="1134" w:type="dxa"/>
            <w:vAlign w:val="center"/>
          </w:tcPr>
          <w:p w14:paraId="3E746400">
            <w:pPr>
              <w:jc w:val="center"/>
              <w:rPr>
                <w:lang w:eastAsia="en-US"/>
              </w:rPr>
            </w:pPr>
            <w:r>
              <w:rPr>
                <w:rFonts w:ascii="Times New Roman" w:hAnsi="Times New Roman" w:eastAsia="宋体"/>
                <w:b w:val="0"/>
                <w:sz w:val="18"/>
                <w:lang w:eastAsia="en-US"/>
              </w:rPr>
              <w:t>0.472</w:t>
            </w:r>
          </w:p>
        </w:tc>
        <w:tc>
          <w:tcPr>
            <w:tcW w:w="1134" w:type="dxa"/>
            <w:vAlign w:val="center"/>
          </w:tcPr>
          <w:p w14:paraId="69483C3C">
            <w:pPr>
              <w:jc w:val="center"/>
              <w:rPr>
                <w:lang w:eastAsia="en-US"/>
              </w:rPr>
            </w:pPr>
            <w:r>
              <w:rPr>
                <w:rFonts w:ascii="Times New Roman" w:hAnsi="Times New Roman" w:eastAsia="宋体"/>
                <w:b w:val="0"/>
                <w:sz w:val="18"/>
                <w:lang w:eastAsia="en-US"/>
              </w:rPr>
              <w:t>0.383</w:t>
            </w:r>
          </w:p>
        </w:tc>
        <w:tc>
          <w:tcPr>
            <w:tcW w:w="1134" w:type="dxa"/>
            <w:vAlign w:val="center"/>
          </w:tcPr>
          <w:p w14:paraId="29CE4F66">
            <w:pPr>
              <w:jc w:val="center"/>
              <w:rPr>
                <w:lang w:eastAsia="en-US"/>
              </w:rPr>
            </w:pPr>
            <w:r>
              <w:rPr>
                <w:rFonts w:ascii="Times New Roman" w:hAnsi="Times New Roman" w:eastAsia="宋体"/>
                <w:b w:val="0"/>
                <w:sz w:val="18"/>
                <w:lang w:eastAsia="en-US"/>
              </w:rPr>
              <w:t>0.576</w:t>
            </w:r>
          </w:p>
        </w:tc>
        <w:tc>
          <w:tcPr>
            <w:tcW w:w="1134" w:type="dxa"/>
            <w:vAlign w:val="center"/>
          </w:tcPr>
          <w:p w14:paraId="6EBAA99B">
            <w:pPr>
              <w:jc w:val="center"/>
              <w:rPr>
                <w:lang w:eastAsia="en-US"/>
              </w:rPr>
            </w:pPr>
            <w:r>
              <w:rPr>
                <w:rFonts w:ascii="Times New Roman" w:hAnsi="Times New Roman" w:eastAsia="宋体"/>
                <w:b w:val="0"/>
                <w:sz w:val="18"/>
                <w:lang w:eastAsia="en-US"/>
              </w:rPr>
              <w:t>0.377</w:t>
            </w:r>
          </w:p>
        </w:tc>
        <w:tc>
          <w:tcPr>
            <w:tcW w:w="1134" w:type="dxa"/>
            <w:vAlign w:val="center"/>
          </w:tcPr>
          <w:p w14:paraId="5D9BB55C">
            <w:pPr>
              <w:jc w:val="center"/>
              <w:rPr>
                <w:lang w:eastAsia="en-US"/>
              </w:rPr>
            </w:pPr>
            <w:r>
              <w:rPr>
                <w:rFonts w:ascii="Times New Roman" w:hAnsi="Times New Roman" w:eastAsia="宋体"/>
                <w:b w:val="0"/>
                <w:sz w:val="18"/>
                <w:lang w:eastAsia="en-US"/>
              </w:rPr>
              <w:t>0.268</w:t>
            </w:r>
          </w:p>
        </w:tc>
      </w:tr>
      <w:tr w14:paraId="16EE8E9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3B444DB">
            <w:pPr>
              <w:jc w:val="center"/>
              <w:rPr>
                <w:lang w:eastAsia="en-US"/>
              </w:rPr>
            </w:pPr>
            <w:r>
              <w:rPr>
                <w:rFonts w:ascii="Times New Roman" w:hAnsi="Times New Roman" w:eastAsia="宋体"/>
                <w:b w:val="0"/>
                <w:sz w:val="18"/>
                <w:lang w:eastAsia="en-US"/>
              </w:rPr>
              <w:t>M3 +RGB</w:t>
            </w:r>
          </w:p>
        </w:tc>
        <w:tc>
          <w:tcPr>
            <w:tcW w:w="1134" w:type="dxa"/>
            <w:vAlign w:val="center"/>
          </w:tcPr>
          <w:p w14:paraId="1210FCEC">
            <w:pPr>
              <w:jc w:val="center"/>
              <w:rPr>
                <w:lang w:eastAsia="en-US"/>
              </w:rPr>
            </w:pPr>
            <w:r>
              <w:rPr>
                <w:rFonts w:ascii="Times New Roman" w:hAnsi="Times New Roman" w:eastAsia="宋体"/>
                <w:b w:val="0"/>
                <w:sz w:val="18"/>
                <w:lang w:eastAsia="en-US"/>
              </w:rPr>
              <w:t>0.676</w:t>
            </w:r>
          </w:p>
        </w:tc>
        <w:tc>
          <w:tcPr>
            <w:tcW w:w="1134" w:type="dxa"/>
            <w:vAlign w:val="center"/>
          </w:tcPr>
          <w:p w14:paraId="6FB589CD">
            <w:pPr>
              <w:jc w:val="center"/>
              <w:rPr>
                <w:lang w:eastAsia="en-US"/>
              </w:rPr>
            </w:pPr>
            <w:r>
              <w:rPr>
                <w:rFonts w:ascii="Times New Roman" w:hAnsi="Times New Roman" w:eastAsia="宋体"/>
                <w:b w:val="0"/>
                <w:sz w:val="18"/>
                <w:lang w:eastAsia="en-US"/>
              </w:rPr>
              <w:t>0.488</w:t>
            </w:r>
          </w:p>
        </w:tc>
        <w:tc>
          <w:tcPr>
            <w:tcW w:w="1134" w:type="dxa"/>
            <w:vAlign w:val="center"/>
          </w:tcPr>
          <w:p w14:paraId="380A6ABA">
            <w:pPr>
              <w:jc w:val="center"/>
              <w:rPr>
                <w:lang w:eastAsia="en-US"/>
              </w:rPr>
            </w:pPr>
            <w:r>
              <w:rPr>
                <w:rFonts w:ascii="Times New Roman" w:hAnsi="Times New Roman" w:eastAsia="宋体"/>
                <w:b w:val="0"/>
                <w:sz w:val="18"/>
                <w:lang w:eastAsia="en-US"/>
              </w:rPr>
              <w:t>0.389</w:t>
            </w:r>
          </w:p>
        </w:tc>
        <w:tc>
          <w:tcPr>
            <w:tcW w:w="1134" w:type="dxa"/>
            <w:vAlign w:val="center"/>
          </w:tcPr>
          <w:p w14:paraId="1BC8B284">
            <w:pPr>
              <w:jc w:val="center"/>
              <w:rPr>
                <w:lang w:eastAsia="en-US"/>
              </w:rPr>
            </w:pPr>
            <w:r>
              <w:rPr>
                <w:rFonts w:ascii="Times New Roman" w:hAnsi="Times New Roman" w:eastAsia="宋体"/>
                <w:b w:val="0"/>
                <w:sz w:val="18"/>
                <w:lang w:eastAsia="en-US"/>
              </w:rPr>
              <w:t>0.591</w:t>
            </w:r>
          </w:p>
        </w:tc>
        <w:tc>
          <w:tcPr>
            <w:tcW w:w="1134" w:type="dxa"/>
            <w:vAlign w:val="center"/>
          </w:tcPr>
          <w:p w14:paraId="5600BC04">
            <w:pPr>
              <w:jc w:val="center"/>
              <w:rPr>
                <w:lang w:eastAsia="en-US"/>
              </w:rPr>
            </w:pPr>
            <w:r>
              <w:rPr>
                <w:rFonts w:ascii="Times New Roman" w:hAnsi="Times New Roman" w:eastAsia="宋体"/>
                <w:b w:val="0"/>
                <w:sz w:val="18"/>
                <w:lang w:eastAsia="en-US"/>
              </w:rPr>
              <w:t>0.393</w:t>
            </w:r>
          </w:p>
        </w:tc>
        <w:tc>
          <w:tcPr>
            <w:tcW w:w="1134" w:type="dxa"/>
            <w:vAlign w:val="center"/>
          </w:tcPr>
          <w:p w14:paraId="3FACCFB9">
            <w:pPr>
              <w:jc w:val="center"/>
              <w:rPr>
                <w:lang w:eastAsia="en-US"/>
              </w:rPr>
            </w:pPr>
            <w:r>
              <w:rPr>
                <w:rFonts w:ascii="Times New Roman" w:hAnsi="Times New Roman" w:eastAsia="宋体"/>
                <w:b w:val="0"/>
                <w:sz w:val="18"/>
                <w:lang w:eastAsia="en-US"/>
              </w:rPr>
              <w:t>0.252</w:t>
            </w:r>
          </w:p>
        </w:tc>
      </w:tr>
      <w:tr w14:paraId="74B016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2FC61C">
            <w:pPr>
              <w:jc w:val="center"/>
              <w:rPr>
                <w:lang w:eastAsia="en-US"/>
              </w:rPr>
            </w:pPr>
            <w:r>
              <w:rPr>
                <w:rFonts w:ascii="Times New Roman" w:hAnsi="Times New Roman" w:eastAsia="宋体"/>
                <w:b w:val="0"/>
                <w:sz w:val="18"/>
                <w:lang w:eastAsia="en-US"/>
              </w:rPr>
              <w:t>M4 NIR+毫米波</w:t>
            </w:r>
          </w:p>
        </w:tc>
        <w:tc>
          <w:tcPr>
            <w:tcW w:w="1134" w:type="dxa"/>
            <w:vAlign w:val="center"/>
          </w:tcPr>
          <w:p w14:paraId="5AA58407">
            <w:pPr>
              <w:jc w:val="center"/>
              <w:rPr>
                <w:lang w:eastAsia="en-US"/>
              </w:rPr>
            </w:pPr>
            <w:r>
              <w:rPr>
                <w:rFonts w:ascii="Times New Roman" w:hAnsi="Times New Roman" w:eastAsia="宋体"/>
                <w:b w:val="0"/>
                <w:sz w:val="18"/>
                <w:lang w:eastAsia="en-US"/>
              </w:rPr>
              <w:t>0.660</w:t>
            </w:r>
          </w:p>
        </w:tc>
        <w:tc>
          <w:tcPr>
            <w:tcW w:w="1134" w:type="dxa"/>
            <w:vAlign w:val="center"/>
          </w:tcPr>
          <w:p w14:paraId="736AC6A1">
            <w:pPr>
              <w:jc w:val="center"/>
              <w:rPr>
                <w:lang w:eastAsia="en-US"/>
              </w:rPr>
            </w:pPr>
            <w:r>
              <w:rPr>
                <w:rFonts w:ascii="Times New Roman" w:hAnsi="Times New Roman" w:eastAsia="宋体"/>
                <w:b w:val="0"/>
                <w:sz w:val="18"/>
                <w:lang w:eastAsia="en-US"/>
              </w:rPr>
              <w:t>0.476</w:t>
            </w:r>
          </w:p>
        </w:tc>
        <w:tc>
          <w:tcPr>
            <w:tcW w:w="1134" w:type="dxa"/>
            <w:vAlign w:val="center"/>
          </w:tcPr>
          <w:p w14:paraId="52BAF177">
            <w:pPr>
              <w:jc w:val="center"/>
              <w:rPr>
                <w:lang w:eastAsia="en-US"/>
              </w:rPr>
            </w:pPr>
            <w:r>
              <w:rPr>
                <w:rFonts w:ascii="Times New Roman" w:hAnsi="Times New Roman" w:eastAsia="宋体"/>
                <w:b w:val="0"/>
                <w:sz w:val="18"/>
                <w:lang w:eastAsia="en-US"/>
              </w:rPr>
              <w:t>0.376</w:t>
            </w:r>
          </w:p>
        </w:tc>
        <w:tc>
          <w:tcPr>
            <w:tcW w:w="1134" w:type="dxa"/>
            <w:vAlign w:val="center"/>
          </w:tcPr>
          <w:p w14:paraId="7802244B">
            <w:pPr>
              <w:jc w:val="center"/>
              <w:rPr>
                <w:lang w:eastAsia="en-US"/>
              </w:rPr>
            </w:pPr>
            <w:r>
              <w:rPr>
                <w:rFonts w:ascii="Times New Roman" w:hAnsi="Times New Roman" w:eastAsia="宋体"/>
                <w:b w:val="0"/>
                <w:sz w:val="18"/>
                <w:lang w:eastAsia="en-US"/>
              </w:rPr>
              <w:t>0.572</w:t>
            </w:r>
          </w:p>
        </w:tc>
        <w:tc>
          <w:tcPr>
            <w:tcW w:w="1134" w:type="dxa"/>
            <w:vAlign w:val="center"/>
          </w:tcPr>
          <w:p w14:paraId="6EB8B11B">
            <w:pPr>
              <w:jc w:val="center"/>
              <w:rPr>
                <w:lang w:eastAsia="en-US"/>
              </w:rPr>
            </w:pPr>
            <w:r>
              <w:rPr>
                <w:rFonts w:ascii="Times New Roman" w:hAnsi="Times New Roman" w:eastAsia="宋体"/>
                <w:b w:val="0"/>
                <w:sz w:val="18"/>
                <w:lang w:eastAsia="en-US"/>
              </w:rPr>
              <w:t>0.365</w:t>
            </w:r>
          </w:p>
        </w:tc>
        <w:tc>
          <w:tcPr>
            <w:tcW w:w="1134" w:type="dxa"/>
            <w:vAlign w:val="center"/>
          </w:tcPr>
          <w:p w14:paraId="77D7A2B5">
            <w:pPr>
              <w:jc w:val="center"/>
              <w:rPr>
                <w:lang w:eastAsia="en-US"/>
              </w:rPr>
            </w:pPr>
            <w:r>
              <w:rPr>
                <w:rFonts w:ascii="Times New Roman" w:hAnsi="Times New Roman" w:eastAsia="宋体"/>
                <w:b w:val="0"/>
                <w:sz w:val="18"/>
                <w:lang w:eastAsia="en-US"/>
              </w:rPr>
              <w:t>0.264</w:t>
            </w:r>
          </w:p>
        </w:tc>
      </w:tr>
      <w:tr w14:paraId="746FD8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CF2DBC6">
            <w:pPr>
              <w:jc w:val="center"/>
              <w:rPr>
                <w:lang w:eastAsia="en-US"/>
              </w:rPr>
            </w:pPr>
            <w:r>
              <w:rPr>
                <w:rFonts w:ascii="Times New Roman" w:hAnsi="Times New Roman" w:eastAsia="宋体"/>
                <w:b w:val="0"/>
                <w:sz w:val="18"/>
                <w:lang w:eastAsia="en-US"/>
              </w:rPr>
              <w:t>M5 NIR+RGB</w:t>
            </w:r>
          </w:p>
        </w:tc>
        <w:tc>
          <w:tcPr>
            <w:tcW w:w="1134" w:type="dxa"/>
            <w:vAlign w:val="center"/>
          </w:tcPr>
          <w:p w14:paraId="6871ACF4">
            <w:pPr>
              <w:jc w:val="center"/>
              <w:rPr>
                <w:lang w:eastAsia="en-US"/>
              </w:rPr>
            </w:pPr>
            <w:r>
              <w:rPr>
                <w:rFonts w:ascii="Times New Roman" w:hAnsi="Times New Roman" w:eastAsia="宋体"/>
                <w:b w:val="0"/>
                <w:sz w:val="18"/>
                <w:lang w:eastAsia="en-US"/>
              </w:rPr>
              <w:t>0.680</w:t>
            </w:r>
          </w:p>
        </w:tc>
        <w:tc>
          <w:tcPr>
            <w:tcW w:w="1134" w:type="dxa"/>
            <w:vAlign w:val="center"/>
          </w:tcPr>
          <w:p w14:paraId="41FED4BB">
            <w:pPr>
              <w:jc w:val="center"/>
              <w:rPr>
                <w:lang w:eastAsia="en-US"/>
              </w:rPr>
            </w:pPr>
            <w:r>
              <w:rPr>
                <w:rFonts w:ascii="Times New Roman" w:hAnsi="Times New Roman" w:eastAsia="宋体"/>
                <w:b w:val="0"/>
                <w:sz w:val="18"/>
                <w:lang w:eastAsia="en-US"/>
              </w:rPr>
              <w:t>0.491</w:t>
            </w:r>
          </w:p>
        </w:tc>
        <w:tc>
          <w:tcPr>
            <w:tcW w:w="1134" w:type="dxa"/>
            <w:vAlign w:val="center"/>
          </w:tcPr>
          <w:p w14:paraId="433312FA">
            <w:pPr>
              <w:jc w:val="center"/>
              <w:rPr>
                <w:lang w:eastAsia="en-US"/>
              </w:rPr>
            </w:pPr>
            <w:r>
              <w:rPr>
                <w:rFonts w:ascii="Times New Roman" w:hAnsi="Times New Roman" w:eastAsia="宋体"/>
                <w:b w:val="0"/>
                <w:sz w:val="18"/>
                <w:lang w:eastAsia="en-US"/>
              </w:rPr>
              <w:t>0.406</w:t>
            </w:r>
          </w:p>
        </w:tc>
        <w:tc>
          <w:tcPr>
            <w:tcW w:w="1134" w:type="dxa"/>
            <w:vAlign w:val="center"/>
          </w:tcPr>
          <w:p w14:paraId="7131B872">
            <w:pPr>
              <w:jc w:val="center"/>
              <w:rPr>
                <w:lang w:eastAsia="en-US"/>
              </w:rPr>
            </w:pPr>
            <w:r>
              <w:rPr>
                <w:rFonts w:ascii="Times New Roman" w:hAnsi="Times New Roman" w:eastAsia="宋体"/>
                <w:b w:val="0"/>
                <w:sz w:val="18"/>
                <w:lang w:eastAsia="en-US"/>
              </w:rPr>
              <w:t>0.588</w:t>
            </w:r>
          </w:p>
        </w:tc>
        <w:tc>
          <w:tcPr>
            <w:tcW w:w="1134" w:type="dxa"/>
            <w:vAlign w:val="center"/>
          </w:tcPr>
          <w:p w14:paraId="721A67AB">
            <w:pPr>
              <w:jc w:val="center"/>
              <w:rPr>
                <w:lang w:eastAsia="en-US"/>
              </w:rPr>
            </w:pPr>
            <w:r>
              <w:rPr>
                <w:rFonts w:ascii="Times New Roman" w:hAnsi="Times New Roman" w:eastAsia="宋体"/>
                <w:b w:val="0"/>
                <w:sz w:val="18"/>
                <w:lang w:eastAsia="en-US"/>
              </w:rPr>
              <w:t>0.395</w:t>
            </w:r>
          </w:p>
        </w:tc>
        <w:tc>
          <w:tcPr>
            <w:tcW w:w="1134" w:type="dxa"/>
            <w:vAlign w:val="center"/>
          </w:tcPr>
          <w:p w14:paraId="7E4A5EBE">
            <w:pPr>
              <w:jc w:val="center"/>
              <w:rPr>
                <w:lang w:eastAsia="en-US"/>
              </w:rPr>
            </w:pPr>
            <w:r>
              <w:rPr>
                <w:rFonts w:ascii="Times New Roman" w:hAnsi="Times New Roman" w:eastAsia="宋体"/>
                <w:b w:val="0"/>
                <w:sz w:val="18"/>
                <w:lang w:eastAsia="en-US"/>
              </w:rPr>
              <w:t>0.265</w:t>
            </w:r>
          </w:p>
        </w:tc>
      </w:tr>
      <w:tr w14:paraId="46625A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73421B">
            <w:pPr>
              <w:jc w:val="center"/>
              <w:rPr>
                <w:lang w:eastAsia="en-US"/>
              </w:rPr>
            </w:pPr>
            <w:r>
              <w:rPr>
                <w:rFonts w:ascii="Times New Roman" w:hAnsi="Times New Roman" w:eastAsia="宋体"/>
                <w:b w:val="0"/>
                <w:sz w:val="18"/>
                <w:lang w:eastAsia="en-US"/>
              </w:rPr>
              <w:t>M6 毫米波+RGB</w:t>
            </w:r>
          </w:p>
        </w:tc>
        <w:tc>
          <w:tcPr>
            <w:tcW w:w="1134" w:type="dxa"/>
            <w:vAlign w:val="center"/>
          </w:tcPr>
          <w:p w14:paraId="58FC3372">
            <w:pPr>
              <w:jc w:val="center"/>
              <w:rPr>
                <w:lang w:eastAsia="en-US"/>
              </w:rPr>
            </w:pPr>
            <w:r>
              <w:rPr>
                <w:rFonts w:ascii="Times New Roman" w:hAnsi="Times New Roman" w:eastAsia="宋体"/>
                <w:b w:val="0"/>
                <w:sz w:val="18"/>
                <w:lang w:eastAsia="en-US"/>
              </w:rPr>
              <w:t>0.670</w:t>
            </w:r>
          </w:p>
        </w:tc>
        <w:tc>
          <w:tcPr>
            <w:tcW w:w="1134" w:type="dxa"/>
            <w:vAlign w:val="center"/>
          </w:tcPr>
          <w:p w14:paraId="069F45D3">
            <w:pPr>
              <w:jc w:val="center"/>
              <w:rPr>
                <w:lang w:eastAsia="en-US"/>
              </w:rPr>
            </w:pPr>
            <w:r>
              <w:rPr>
                <w:rFonts w:ascii="Times New Roman" w:hAnsi="Times New Roman" w:eastAsia="宋体"/>
                <w:b w:val="0"/>
                <w:sz w:val="18"/>
                <w:lang w:eastAsia="en-US"/>
              </w:rPr>
              <w:t>0.483</w:t>
            </w:r>
          </w:p>
        </w:tc>
        <w:tc>
          <w:tcPr>
            <w:tcW w:w="1134" w:type="dxa"/>
            <w:vAlign w:val="center"/>
          </w:tcPr>
          <w:p w14:paraId="3A676C08">
            <w:pPr>
              <w:jc w:val="center"/>
              <w:rPr>
                <w:lang w:eastAsia="en-US"/>
              </w:rPr>
            </w:pPr>
            <w:r>
              <w:rPr>
                <w:rFonts w:ascii="Times New Roman" w:hAnsi="Times New Roman" w:eastAsia="宋体"/>
                <w:b w:val="0"/>
                <w:sz w:val="18"/>
                <w:lang w:eastAsia="en-US"/>
              </w:rPr>
              <w:t>0.387</w:t>
            </w:r>
          </w:p>
        </w:tc>
        <w:tc>
          <w:tcPr>
            <w:tcW w:w="1134" w:type="dxa"/>
            <w:vAlign w:val="center"/>
          </w:tcPr>
          <w:p w14:paraId="79927384">
            <w:pPr>
              <w:jc w:val="center"/>
              <w:rPr>
                <w:lang w:eastAsia="en-US"/>
              </w:rPr>
            </w:pPr>
            <w:r>
              <w:rPr>
                <w:rFonts w:ascii="Times New Roman" w:hAnsi="Times New Roman" w:eastAsia="宋体"/>
                <w:b w:val="0"/>
                <w:sz w:val="18"/>
                <w:lang w:eastAsia="en-US"/>
              </w:rPr>
              <w:t>0.584</w:t>
            </w:r>
          </w:p>
        </w:tc>
        <w:tc>
          <w:tcPr>
            <w:tcW w:w="1134" w:type="dxa"/>
            <w:vAlign w:val="center"/>
          </w:tcPr>
          <w:p w14:paraId="645C49AC">
            <w:pPr>
              <w:jc w:val="center"/>
              <w:rPr>
                <w:lang w:eastAsia="en-US"/>
              </w:rPr>
            </w:pPr>
            <w:r>
              <w:rPr>
                <w:rFonts w:ascii="Times New Roman" w:hAnsi="Times New Roman" w:eastAsia="宋体"/>
                <w:b w:val="0"/>
                <w:sz w:val="18"/>
                <w:lang w:eastAsia="en-US"/>
              </w:rPr>
              <w:t>0.380</w:t>
            </w:r>
          </w:p>
        </w:tc>
        <w:tc>
          <w:tcPr>
            <w:tcW w:w="1134" w:type="dxa"/>
            <w:vAlign w:val="center"/>
          </w:tcPr>
          <w:p w14:paraId="64ABD279">
            <w:pPr>
              <w:jc w:val="center"/>
              <w:rPr>
                <w:lang w:eastAsia="en-US"/>
              </w:rPr>
            </w:pPr>
            <w:r>
              <w:rPr>
                <w:rFonts w:ascii="Times New Roman" w:hAnsi="Times New Roman" w:eastAsia="宋体"/>
                <w:b w:val="0"/>
                <w:sz w:val="18"/>
                <w:lang w:eastAsia="en-US"/>
              </w:rPr>
              <w:t>0.265</w:t>
            </w:r>
          </w:p>
        </w:tc>
      </w:tr>
      <w:tr w14:paraId="2A23F7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62B1F53F">
            <w:pPr>
              <w:jc w:val="center"/>
              <w:rPr>
                <w:lang w:eastAsia="en-US"/>
              </w:rPr>
            </w:pPr>
            <w:r>
              <w:rPr>
                <w:rFonts w:ascii="Times New Roman" w:hAnsi="Times New Roman" w:eastAsia="宋体"/>
                <w:b w:val="0"/>
                <w:sz w:val="18"/>
                <w:lang w:eastAsia="en-US"/>
              </w:rPr>
              <w:t>M7 完整三模态</w:t>
            </w:r>
          </w:p>
        </w:tc>
        <w:tc>
          <w:tcPr>
            <w:tcW w:w="1134" w:type="dxa"/>
            <w:vAlign w:val="center"/>
          </w:tcPr>
          <w:p w14:paraId="622C9E45">
            <w:pPr>
              <w:jc w:val="center"/>
              <w:rPr>
                <w:lang w:eastAsia="en-US"/>
              </w:rPr>
            </w:pPr>
            <w:r>
              <w:rPr>
                <w:rFonts w:ascii="Times New Roman" w:hAnsi="Times New Roman" w:eastAsia="宋体"/>
                <w:b w:val="0"/>
                <w:sz w:val="18"/>
                <w:lang w:eastAsia="en-US"/>
              </w:rPr>
              <w:t>0.674</w:t>
            </w:r>
          </w:p>
        </w:tc>
        <w:tc>
          <w:tcPr>
            <w:tcW w:w="1134" w:type="dxa"/>
            <w:vAlign w:val="center"/>
          </w:tcPr>
          <w:p w14:paraId="37AACB1F">
            <w:pPr>
              <w:jc w:val="center"/>
              <w:rPr>
                <w:lang w:eastAsia="en-US"/>
              </w:rPr>
            </w:pPr>
            <w:r>
              <w:rPr>
                <w:rFonts w:ascii="Times New Roman" w:hAnsi="Times New Roman" w:eastAsia="宋体"/>
                <w:b w:val="0"/>
                <w:sz w:val="18"/>
                <w:lang w:eastAsia="en-US"/>
              </w:rPr>
              <w:t>0.485</w:t>
            </w:r>
          </w:p>
        </w:tc>
        <w:tc>
          <w:tcPr>
            <w:tcW w:w="1134" w:type="dxa"/>
            <w:vAlign w:val="center"/>
          </w:tcPr>
          <w:p w14:paraId="2A0BD6B1">
            <w:pPr>
              <w:jc w:val="center"/>
              <w:rPr>
                <w:lang w:eastAsia="en-US"/>
              </w:rPr>
            </w:pPr>
            <w:r>
              <w:rPr>
                <w:rFonts w:ascii="Times New Roman" w:hAnsi="Times New Roman" w:eastAsia="宋体"/>
                <w:b w:val="0"/>
                <w:sz w:val="18"/>
                <w:lang w:eastAsia="en-US"/>
              </w:rPr>
              <w:t>0.391</w:t>
            </w:r>
          </w:p>
        </w:tc>
        <w:tc>
          <w:tcPr>
            <w:tcW w:w="1134" w:type="dxa"/>
            <w:vAlign w:val="center"/>
          </w:tcPr>
          <w:p w14:paraId="6232ACDF">
            <w:pPr>
              <w:jc w:val="center"/>
              <w:rPr>
                <w:lang w:eastAsia="en-US"/>
              </w:rPr>
            </w:pPr>
            <w:r>
              <w:rPr>
                <w:rFonts w:ascii="Times New Roman" w:hAnsi="Times New Roman" w:eastAsia="宋体"/>
                <w:b w:val="0"/>
                <w:sz w:val="18"/>
                <w:lang w:eastAsia="en-US"/>
              </w:rPr>
              <w:t>0.580</w:t>
            </w:r>
          </w:p>
        </w:tc>
        <w:tc>
          <w:tcPr>
            <w:tcW w:w="1134" w:type="dxa"/>
            <w:vAlign w:val="center"/>
          </w:tcPr>
          <w:p w14:paraId="71C6ABAB">
            <w:pPr>
              <w:jc w:val="center"/>
              <w:rPr>
                <w:lang w:eastAsia="en-US"/>
              </w:rPr>
            </w:pPr>
            <w:r>
              <w:rPr>
                <w:rFonts w:ascii="Times New Roman" w:hAnsi="Times New Roman" w:eastAsia="宋体"/>
                <w:b w:val="0"/>
                <w:sz w:val="18"/>
                <w:lang w:eastAsia="en-US"/>
              </w:rPr>
              <w:t>0.376</w:t>
            </w:r>
          </w:p>
        </w:tc>
        <w:tc>
          <w:tcPr>
            <w:tcW w:w="1134" w:type="dxa"/>
            <w:vAlign w:val="center"/>
          </w:tcPr>
          <w:p w14:paraId="3B7A9B30">
            <w:pPr>
              <w:jc w:val="center"/>
              <w:rPr>
                <w:lang w:eastAsia="en-US"/>
              </w:rPr>
            </w:pPr>
            <w:r>
              <w:rPr>
                <w:rFonts w:ascii="Times New Roman" w:hAnsi="Times New Roman" w:eastAsia="宋体"/>
                <w:b w:val="0"/>
                <w:sz w:val="18"/>
                <w:lang w:eastAsia="en-US"/>
              </w:rPr>
              <w:t>0.265</w:t>
            </w:r>
          </w:p>
        </w:tc>
      </w:tr>
    </w:tbl>
    <w:p w14:paraId="06EAFE13">
      <w:pPr>
        <w:jc w:val="center"/>
      </w:pPr>
      <w:r>
        <w:rPr>
          <w:rFonts w:ascii="Times New Roman" w:hAnsi="Times New Roman" w:eastAsia="宋体"/>
          <w:b/>
          <w:sz w:val="21"/>
        </w:rPr>
        <w:t>表 7 八种模态组合的预测性能（留一参与者交叉验证，逐折等权）</w:t>
      </w:r>
    </w:p>
    <w:p w14:paraId="40E236B4">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个测试折因该参与者类别不全而无法定义，表中为该指标可定义折的均值。</w:t>
      </w:r>
    </w:p>
    <w:p w14:paraId="5663DB3F">
      <w:pPr>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14:paraId="12A9BEE6">
      <w:pPr>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14:paraId="56FCA2D3">
      <w:pPr>
        <w:jc w:val="center"/>
      </w:pPr>
      <w:r>
        <w:drawing>
          <wp:inline distT="0" distB="0" distL="114300" distR="114300">
            <wp:extent cx="5219700" cy="2157730"/>
            <wp:effectExtent l="0" t="0" r="5080" b="1270"/>
            <wp:docPr id="1688596213" name="Picture 1688596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3" name="Picture 1688596213"/>
                    <pic:cNvPicPr>
                      <a:picLocks noChangeAspect="1"/>
                    </pic:cNvPicPr>
                  </pic:nvPicPr>
                  <pic:blipFill>
                    <a:blip r:embed="rId34"/>
                    <a:stretch>
                      <a:fillRect/>
                    </a:stretch>
                  </pic:blipFill>
                  <pic:spPr>
                    <a:xfrm>
                      <a:off x="0" y="0"/>
                      <a:ext cx="5220000" cy="2158158"/>
                    </a:xfrm>
                    <a:prstGeom prst="rect">
                      <a:avLst/>
                    </a:prstGeom>
                  </pic:spPr>
                </pic:pic>
              </a:graphicData>
            </a:graphic>
          </wp:inline>
        </w:drawing>
      </w:r>
    </w:p>
    <w:p w14:paraId="7A487184">
      <w:pPr>
        <w:jc w:val="center"/>
      </w:pPr>
      <w:r>
        <w:rPr>
          <w:rFonts w:ascii="Times New Roman" w:hAnsi="Times New Roman" w:eastAsia="宋体"/>
          <w:b/>
          <w:sz w:val="21"/>
        </w:rPr>
        <w:t>图 24 各模态组合相对行为基准的 ROC-AUC 增量</w:t>
      </w:r>
    </w:p>
    <w:p w14:paraId="21728191">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pPr>
        <w:pStyle w:val="5"/>
      </w:pPr>
      <w:r>
        <w:t>5.6.3 模态互补、平均边际贡献与补充 AI 融合</w:t>
      </w:r>
    </w:p>
    <w:p w14:paraId="65A0B6F7">
      <w:pPr>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14:paraId="77CA20B1">
      <w:pPr>
        <w:ind w:firstLine="420"/>
        <w:jc w:val="both"/>
      </w:pPr>
      <w:r>
        <w:rPr>
          <w:rFonts w:ascii="Times New Roman" w:hAnsi="Times New Roman" w:eastAsia="宋体"/>
          <w:b w:val="0"/>
          <w:sz w:val="21"/>
        </w:rPr>
        <w:t>非线性补充模型的相应结果见 5.6.2。</w:t>
      </w:r>
    </w:p>
    <w:p w14:paraId="3FBFD853">
      <w:pPr>
        <w:pStyle w:val="3"/>
        <w:rPr>
          <w:lang w:eastAsia="zh-CN"/>
        </w:rPr>
      </w:pPr>
      <w:r>
        <w:rPr>
          <w:rFonts w:hint="eastAsia"/>
          <w:lang w:eastAsia="zh-CN"/>
        </w:rPr>
        <w:t>6 分析与讨论</w:t>
      </w:r>
    </w:p>
    <w:p w14:paraId="09860907">
      <w:pPr>
        <w:pStyle w:val="4"/>
        <w:rPr>
          <w:lang w:eastAsia="zh-CN"/>
        </w:rPr>
      </w:pPr>
      <w:r>
        <w:rPr>
          <w:rFonts w:hint="eastAsia"/>
          <w:lang w:eastAsia="zh-CN"/>
        </w:rPr>
        <w:t>6.1 状态相关模式与文献对照</w:t>
      </w:r>
    </w:p>
    <w:p w14:paraId="1179273E">
      <w:pPr>
        <w:ind w:firstLine="420"/>
        <w:jc w:val="both"/>
      </w:pPr>
      <w:r>
        <w:rPr>
          <w:rFonts w:ascii="Times New Roman" w:hAnsi="Times New Roman" w:eastAsia="宋体"/>
          <w:b w:val="0"/>
          <w:sz w:val="21"/>
        </w:rPr>
        <w:t>RGB 层面，眨眼候选事件率随任务进程升高、与较低警觉和较差行为表现（更高遗漏与误按、更低 d′）相关，与眨眼行为与走神相关的研究方向一致（Smilek et al., 2010），是三个传感模态中与行为及主观状态关联最密集的特征。但眨眼候选尚未经过独立事件标注验证，其频率估计可能包含双眼不一致或面部切换的影响，因此该关联需要在事件级效度建立后复核。整体运动能量、曝光变化与姿态方向与状态指标基本无关，说明在本任务的坐姿条件下外显体动不是状态信息的主要来源，同时支持其作为毫米波体动混杂的控制变量使用。</w:t>
      </w:r>
    </w:p>
    <w:p w14:paraId="5C9691A0">
      <w:pPr>
        <w:ind w:firstLine="420"/>
        <w:jc w:val="both"/>
      </w:pPr>
      <w:r>
        <w:rPr>
          <w:rFonts w:ascii="Times New Roman" w:hAnsi="Times New Roman" w:eastAsia="宋体"/>
          <w:b w:val="0"/>
          <w:sz w:val="21"/>
        </w:rPr>
        <w:t>毫米波层面，心率与</w:t>
      </w:r>
      <w:r>
        <w:rPr>
          <w:rFonts w:hint="eastAsia"/>
          <w:b w:val="0"/>
          <w:sz w:val="21"/>
          <w:lang w:eastAsia="zh-CN"/>
        </w:rPr>
        <w:t>"</w:t>
      </w:r>
      <w:r>
        <w:rPr>
          <w:rFonts w:ascii="Times New Roman" w:hAnsi="Times New Roman" w:eastAsia="宋体"/>
          <w:b w:val="0"/>
          <w:sz w:val="21"/>
        </w:rPr>
        <w:t>大脑空白</w:t>
      </w:r>
      <w:r>
        <w:rPr>
          <w:rFonts w:hint="eastAsia"/>
          <w:b w:val="0"/>
          <w:sz w:val="21"/>
          <w:lang w:eastAsia="zh-CN"/>
        </w:rPr>
        <w:t>"</w:t>
      </w:r>
      <w:r>
        <w:rPr>
          <w:rFonts w:ascii="Times New Roman" w:hAnsi="Times New Roman" w:eastAsia="宋体"/>
          <w:b w:val="0"/>
          <w:sz w:val="21"/>
        </w:rPr>
        <w:t>的正向关联（三种心率估计方向一致）同样与 Corcoran 等（2025）报告的大脑空白伴随心率降低方向相反。除测量层级差异外，这一不一致还可能来自三个方面：探针前 30 s 窗口的心率水平包含基线个体差异，状态相关变化可能被参与者间差异掩盖；心率估计本身存在约 7–11 bpm 的窗口级误差，弱关联上的方向估计对测量噪声敏感；"大脑空白"类别的样本量最小（164 个探针），估计不确定性较大。因此这一关联目前更适合作为需要进一步澄清的提示性证据，而不是稳定结论。呼吸频率与 Q2 警觉程度的正向关联在个体内分量上稳定存在，与呼吸-注意通过蓝斑核耦合的框架相容（Melnychuk et al., 2018），且呼吸估计对源数据空洞更鲁棒，提示呼吸频率可能是当前毫米波特征中较可靠的候选指标。</w:t>
      </w:r>
    </w:p>
    <w:p w14:paraId="4AB82B99">
      <w:pPr>
        <w:ind w:firstLine="420"/>
        <w:jc w:val="both"/>
      </w:pPr>
      <w:r>
        <w:rPr>
          <w:rFonts w:ascii="Times New Roman" w:hAnsi="Times New Roman" w:eastAsia="宋体"/>
          <w:b w:val="0"/>
          <w:sz w:val="21"/>
        </w:rPr>
        <w:t>瞳孔结果与近期 SART-探针-瞳孔联合研究高度呼应。参与者间平均瞳孔更大与"大脑空白"相对"完全专注"的更高出现相关，方向上与 Corcoran 等（2025）报告的大脑空白伴随低唤醒和较小瞳孔并不一致，但需要注意两项研究的测量层级不同：本研究为探针前 30 s 的瞳孔水平与状态类别的关系，Corcoran 等描述的是状态片段内的事件相关变化，且本研究未对瞳孔的参与者间与参与者内效应在该模型内分解。瞳孔与 Go 遗漏的负向关联（个体内与个体间均不为 0）则与 Unsworth 等（2018）注意脱落伴随瞳孔动态改变的证据方向一致，且该关联在控制视觉刺激属性后保持稳定，说明其不完全由屏幕刺激差异驱动。Block 层瞳孔相对增大与更高 No-Go 误按率的关联提示，抑制失败可能伴随短时唤醒或努力动员的波动；结合 van den Brink 等（2016）发现的倒 U 形关系，瞳孔与行为的关系不宜以单一线性方向概括。</w:t>
      </w:r>
    </w:p>
    <w:p w14:paraId="293C184A">
      <w:pPr>
        <w:ind w:firstLine="420"/>
        <w:jc w:val="both"/>
      </w:pPr>
      <w:r>
        <w:rPr>
          <w:rFonts w:ascii="Times New Roman" w:hAnsi="Times New Roman" w:eastAsia="宋体"/>
          <w:b w:val="0"/>
          <w:sz w:val="21"/>
        </w:rPr>
        <w:t>行为层面，本研究的任务进程效应与持续注意文献一致：RT-CV 随 Block 内 cycle 推进而升高、B2 的整体变异大于 B1，任务后期的主要变化表现为反应时稳定性下降而非速度或错误率改变，这与持续注意任务中典型的 time-on-task 效应相符（Robertson et al., 1997）。思维探针与近期行为的关系亦与既往研究一致：较高的 No-Go 误按率与更低的 d′对应"在任务上没想目标"与"走神"相对"完全专注"的更高出现优势，较高的警觉等级对应更低的误按、遗漏和反应时变异，说明行为与主观状态在同一任务内构成相互一致的认知参照。</w:t>
      </w:r>
    </w:p>
    <w:p w14:paraId="244C7828">
      <w:pPr>
        <w:pStyle w:val="4"/>
        <w:rPr>
          <w:lang w:eastAsia="zh-CN"/>
        </w:rPr>
      </w:pPr>
      <w:r>
        <w:rPr>
          <w:rFonts w:hint="eastAsia"/>
          <w:lang w:eastAsia="zh-CN"/>
        </w:rPr>
        <w:t>6.2 多模态增量、测量边界与未来方向</w:t>
      </w:r>
    </w:p>
    <w:p w14:paraId="69C58E71">
      <w:pPr>
        <w:pStyle w:val="4"/>
        <w:rPr>
          <w:lang w:eastAsia="zh-CN"/>
        </w:rPr>
      </w:pPr>
    </w:p>
    <w:p w14:paraId="3D68CB89">
      <w:pPr>
        <w:pStyle w:val="4"/>
        <w:rPr>
          <w:lang w:eastAsia="zh-CN"/>
        </w:rPr>
      </w:pPr>
    </w:p>
    <w:p w14:paraId="15E13145">
      <w:pPr>
        <w:spacing w:line="240" w:lineRule="auto"/>
        <w:ind w:firstLine="0" w:firstLineChars="0"/>
        <w:jc w:val="left"/>
      </w:pPr>
      <w:r>
        <w:br w:type="page"/>
      </w:r>
    </w:p>
    <w:p w14:paraId="0F2F8E05">
      <w:pPr>
        <w:spacing w:line="240" w:lineRule="auto"/>
        <w:ind w:firstLine="0" w:firstLineChars="0"/>
        <w:jc w:val="left"/>
        <w:rPr>
          <w:rFonts w:hAnsiTheme="minorHAnsi"/>
          <w:b/>
          <w:kern w:val="0"/>
          <w:sz w:val="24"/>
          <w:szCs w:val="28"/>
          <w14:ligatures w14:val="none"/>
        </w:rPr>
      </w:pPr>
    </w:p>
    <w:p w14:paraId="4C4EA4D8">
      <w:pPr>
        <w:ind w:firstLine="420"/>
        <w:jc w:val="both"/>
      </w:pPr>
      <w:r>
        <w:rPr>
          <w:rFonts w:ascii="Times New Roman" w:hAnsi="Times New Roman" w:eastAsia="宋体"/>
          <w:b w:val="0"/>
          <w:sz w:val="21"/>
        </w:rPr>
        <w:t>未来方向包括：在更大样本上确认心率负偏差与状态关联方向；改进逐搏检测并重新评估 HRV 的可行性；建立眨眼候选的独立标注效度；在更细时间粒度（如 10 s 窗口）上考察模态特征的预测增量；以及在满足"多模态联合上限相对雷达相关组合表现稳定增益"这一前置条件后，再评估以多模态为教师蒸馏无感单模态的路线。当前证据表明，行为与主观报告仍是持续注意测评中最有效的参照，传感模态的价值在于提供行为之外的过程信息与无感连续监测的可能性，而非替代行为测量。</w:t>
      </w:r>
    </w:p>
    <w:p w14:paraId="52F62571">
      <w:pPr>
        <w:ind w:firstLine="420"/>
        <w:jc w:val="both"/>
      </w:pPr>
      <w:r>
        <w:rPr>
          <w:rFonts w:ascii="Times New Roman" w:hAnsi="Times New Roman" w:eastAsia="宋体"/>
          <w:b w:val="0"/>
          <w:sz w:val="21"/>
        </w:rPr>
        <w:t>本研究的边界需要如实说明。毫米波金标准对照基于定向选择的 5 个场次（100 个探针窗口），覆盖了此前发现的锁半频与数据空洞问题类型，用于核验算法纠正与误差量级，而不是对全部正式场次精度的无偏估计；心率还存在约 −4 至 −17 bpm 的系统性低估，需要更大样本确认。逐搏级验证在扩样后灵敏度与精确率进一步下降，HRV 指标因此不进入正式分析，心搏相关证据目前限于心率水平。眨眼候选与姿态方向候选均未建立独立效度，相关结论按算法定义候选表述。样本规模（61 名参与者）足以支持效标关联与交叉验证推断，但不足以建立申请书构想的标准化常模与个体诊断级评分，连续状态监测目前以分类原型和连续特征轨迹的形式呈现。</w:t>
      </w:r>
    </w:p>
    <w:p w14:paraId="4938FD09">
      <w:pPr>
        <w:ind w:firstLine="420"/>
        <w:jc w:val="both"/>
      </w:pPr>
      <w:r>
        <w:rPr>
          <w:rFonts w:ascii="Times New Roman" w:hAnsi="Times New Roman" w:eastAsia="宋体"/>
          <w:b w:val="0"/>
          <w:sz w:val="21"/>
        </w:rPr>
        <w:t>不同结局和模型下的增量模式并不一致：RGB 的增量集中于 Q1 的平衡准确率，含毫米波组合的增量集中于 Q2 的宏 F1，随机森林下加入传感模态一致改善 Q1 的对数损失。这种模式依赖性提示各模态可能服务于不同的状态维度（外显行为与注意内容、生理与警觉程度），也提示非线性补充模型可能从联合特征中提取到线性模型未能利用的信息。主模型（规则化逻辑回归）作为可解释基线保持为结论基础，随机森林结果作为补充证据并列报告。</w:t>
      </w:r>
    </w:p>
    <w:p w14:paraId="743C7BE0">
      <w:pPr>
        <w:ind w:firstLine="420"/>
        <w:jc w:val="both"/>
      </w:pPr>
      <w:r>
        <w:rPr>
          <w:rFonts w:ascii="Times New Roman" w:hAnsi="Times New Roman" w:eastAsia="宋体"/>
          <w:b w:val="0"/>
          <w:sz w:val="21"/>
        </w:rPr>
        <w:t>多模态融合结果显示，在行为基准之上加入传感模态的预测增量总体较小：仅 RGB 对 Q1 平衡准确率（+0.013 至 +0.017）与含毫米波组合对 Q2 宏 F1（+0.034 至 +0.038）的正增量 95% CI 不含 0，其余组合与指标的增量 95% CI 均包含 0。这一结果有三层解释。其一，各模态与状态结局的关联本身较弱（标准化系数多在 0.1–0.6 量级），弱关联转化为预测增量的空间有限。其二，测量噪声限制了增量的可实现性：心率估计的窗口级误差约 7–11 bpm，眨眼候选未经独立效度验证，30 s 窗口的特征粒度也可能滤掉了更短时程的状态信息。其三，61 名参与者的留一交叉验证下逐折性能方差较大，95% CI 较宽，检验功效有限。因此，增量有限不能等同于"传感模态不携带状态信息"——5.3 至 5.5 的效标关联证据表明部分特征确实与状态相关——而应理解为在行为与主观报告已经提供较强基准的情况下，当前特征粒度和样本规模不足以稳定检出额外预测信息。</w:t>
      </w:r>
    </w:p>
    <w:p w14:paraId="1CE17CE1">
      <w:pPr>
        <w:pStyle w:val="3"/>
      </w:pPr>
      <w:r>
        <w:t>7 特色与创新</w:t>
      </w:r>
    </w:p>
    <w:p w14:paraId="0D7A1967">
      <w:pPr>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14:paraId="1E42DD00">
      <w:pPr>
        <w:ind w:hanging="420"/>
        <w:jc w:val="left"/>
      </w:pPr>
      <w:r>
        <w:rPr>
          <w:rFonts w:ascii="Times New Roman" w:hAnsi="Times New Roman" w:eastAsia="宋体"/>
          <w:b w:val="0"/>
          <w:sz w:val="21"/>
        </w:rPr>
        <w:t>Theil, H. (1950). A rank-invariant method of linear and polynomial regression analysis. Indagationes Mathematicae, 12, 85–91.</w:t>
      </w:r>
    </w:p>
    <w:p w14:paraId="1154ABD9">
      <w:pPr>
        <w:ind w:hanging="420"/>
        <w:jc w:val="left"/>
      </w:pPr>
      <w:r>
        <w:rPr>
          <w:rFonts w:ascii="Times New Roman" w:hAnsi="Times New Roman" w:eastAsia="宋体"/>
          <w:b w:val="0"/>
          <w:sz w:val="21"/>
        </w:rPr>
        <w:t>Soukupová, T., &amp; Čech, J. (2016). Real-time eye blink detection using facial landmarks. In 21st Computer Vision Winter Workshop (pp. 1–8).</w:t>
      </w:r>
    </w:p>
    <w:p w14:paraId="7A536890">
      <w:pPr>
        <w:ind w:hanging="420"/>
        <w:jc w:val="left"/>
      </w:pPr>
      <w:r>
        <w:rPr>
          <w:rFonts w:ascii="Times New Roman" w:hAnsi="Times New Roman" w:eastAsia="宋体"/>
          <w:b w:val="0"/>
          <w:sz w:val="21"/>
        </w:rPr>
        <w:t>Sen, P. K. (1968). Estimates of the regression coefficient based on Kendall's tau. Journal of the American Statistical Association, 63(324), 1379–1389. https://doi.org/10.1080/01621459.1968.10480934</w:t>
      </w:r>
    </w:p>
    <w:p w14:paraId="03051A6C">
      <w:pPr>
        <w:ind w:hanging="420"/>
        <w:jc w:val="left"/>
      </w:pPr>
      <w:r>
        <w:rPr>
          <w:rFonts w:ascii="Times New Roman" w:hAnsi="Times New Roman" w:eastAsia="宋体"/>
          <w:b w:val="0"/>
          <w:sz w:val="21"/>
        </w:rPr>
        <w:t>Redmon, J., Divvala, S., Girshick, R., &amp; Farhadi, A. (2016). You only look once: Unified, real-time object detection. In Proceedings of the IEEE Conference on Computer Vision and Pattern Recognition (pp. 779–788). IEEE. https://doi.org/10.1109/CVPR.2016.91</w:t>
      </w:r>
    </w:p>
    <w:p w14:paraId="62DBA36B">
      <w:pPr>
        <w:ind w:hanging="420"/>
        <w:jc w:val="left"/>
      </w:pPr>
      <w:r>
        <w:rPr>
          <w:rFonts w:ascii="Times New Roman" w:hAnsi="Times New Roman" w:eastAsia="宋体"/>
          <w:b w:val="0"/>
          <w:sz w:val="21"/>
        </w:rPr>
        <w:t>Macmillan, N. A., &amp; Creelman, C. D. (2005). Detection theory: A user's guide (2nd ed.). Psychology Press.</w:t>
      </w:r>
    </w:p>
    <w:p w14:paraId="1F58CBA8">
      <w:pPr>
        <w:ind w:hanging="420"/>
        <w:jc w:val="left"/>
      </w:pPr>
      <w:r>
        <w:rPr>
          <w:rFonts w:ascii="Times New Roman" w:hAnsi="Times New Roman" w:eastAsia="宋体"/>
          <w:b w:val="0"/>
          <w:sz w:val="21"/>
        </w:rPr>
        <w:t>Lugaresi, C., Tang, J., Nash, H., McClanahan, C., Uboweja, E., Hays, M., Zhang, F., Chang, C.-L., Yong, M. G., Lee, J., Chang, W.-T., Hua, W., Georg, M., &amp; Grundmann, M. (2019). MediaPipe: A framework for building perception pipelines. arXiv preprint arXiv:1906.08172.</w:t>
      </w:r>
    </w:p>
    <w:p w14:paraId="3A6E3D02">
      <w:pPr>
        <w:ind w:hanging="420"/>
        <w:jc w:val="left"/>
      </w:pPr>
      <w:r>
        <w:rPr>
          <w:rFonts w:ascii="Times New Roman" w:hAnsi="Times New Roman" w:eastAsia="宋体"/>
          <w:b w:val="0"/>
          <w:sz w:val="21"/>
        </w:rPr>
        <w:t>Liang, K.-Y., &amp; Zeger, S. L. (1986). Longitudinal data analysis using generalized linear models. Biometrika, 73(1), 13–22. https://doi.org/10.1093/biomet/73.1.13</w:t>
      </w:r>
    </w:p>
    <w:p w14:paraId="52544F6E">
      <w:pPr>
        <w:ind w:hanging="420"/>
        <w:jc w:val="left"/>
      </w:pPr>
      <w:r>
        <w:rPr>
          <w:rFonts w:ascii="Times New Roman" w:hAnsi="Times New Roman" w:eastAsia="宋体"/>
          <w:b w:val="0"/>
          <w:sz w:val="21"/>
        </w:rPr>
        <w:t>Efron, B., &amp; Tibshirani, R. J. (1994). An introduction to the bootstrap. CRC Press.</w:t>
      </w:r>
    </w:p>
    <w:p w14:paraId="00AE6114">
      <w:pPr>
        <w:ind w:hanging="420"/>
        <w:jc w:val="left"/>
      </w:pPr>
      <w:r>
        <w:rPr>
          <w:rFonts w:ascii="Times New Roman" w:hAnsi="Times New Roman" w:eastAsia="宋体"/>
          <w:b w:val="0"/>
          <w:sz w:val="21"/>
        </w:rPr>
        <w:t>Dragomiretskiy, K., &amp; Zosso, D. (2014). Variational mode decomposition. IEEE Transactions on Signal Processing, 62(3), 531–544. https://doi.org/10.1109/TSP.2013.2288675</w:t>
      </w:r>
    </w:p>
    <w:p w14:paraId="7A570C67">
      <w:pPr>
        <w:ind w:hanging="420"/>
        <w:jc w:val="left"/>
      </w:pPr>
      <w:r>
        <w:rPr>
          <w:rFonts w:ascii="Times New Roman" w:hAnsi="Times New Roman" w:eastAsia="宋体"/>
          <w:b w:val="0"/>
          <w:sz w:val="21"/>
        </w:rPr>
        <w:t>Chaudhary, A. K., Kothari, R., Acharya, M., Dangi, S., Nair, N., Bailey, R., Kanan, C., Diaz, G., &amp; Pelz, J. B. (2020). RITnet: Real-time semantic segmentation of the eye for gaze tracking. In 2019 IEEE/CVF International Conference on Computer Vision Workshop (ICCVW) (pp. 3698–3702). IEEE. https://doi.org/10.1109/ICCVW.2019.00568</w:t>
      </w:r>
    </w:p>
    <w:p w14:paraId="4D91EC15">
      <w:pPr>
        <w:ind w:hanging="420"/>
        <w:jc w:val="left"/>
      </w:pPr>
      <w:r>
        <w:rPr>
          <w:rFonts w:ascii="Times New Roman" w:hAnsi="Times New Roman" w:eastAsia="宋体"/>
          <w:b w:val="0"/>
          <w:sz w:val="21"/>
        </w:rPr>
        <w:t>Bazarevsky, V., Grishchenko, I., Raveendran, K., Zhu, T., Zhang, F., &amp; Grundmann, M. (2020). BlazePose: On-device real-time body pose tracking. arXiv preprint arXiv:2006.10204.</w:t>
      </w:r>
    </w:p>
    <w:p w14:paraId="76BC5C3A">
      <w:pPr>
        <w:pStyle w:val="4"/>
        <w:rPr>
          <w:lang w:eastAsia="zh-CN"/>
        </w:rPr>
      </w:pPr>
      <w:r>
        <w:rPr>
          <w:rFonts w:hint="eastAsia"/>
          <w:lang w:eastAsia="zh-CN"/>
        </w:rPr>
        <w:t>参考文献</w:t>
      </w:r>
    </w:p>
    <w:p w14:paraId="5DCA9517">
      <w:pPr>
        <w:ind w:left="420" w:hanging="420" w:hangingChars="200"/>
        <w:jc w:val="left"/>
      </w:pPr>
      <w:r>
        <w:t>Bosch, N., &amp; D'Mello, S. K. (2021). Automatic detection of mind wandering from video in the lab and in the classroom. </w:t>
      </w:r>
      <w:r>
        <w:rPr>
          <w:i/>
          <w:iCs/>
        </w:rPr>
        <w:t>IEEE Transactions on Affective Computing, 12</w:t>
      </w:r>
      <w:r>
        <w:t>(4), 974–988. </w:t>
      </w:r>
      <w:r>
        <w:fldChar w:fldCharType="begin"/>
      </w:r>
      <w:r>
        <w:instrText xml:space="preserve"> HYPERLINK "https://doi.org/10.1109/TAFFC.2019.2908837" </w:instrText>
      </w:r>
      <w:r>
        <w:fldChar w:fldCharType="separate"/>
      </w:r>
      <w:r>
        <w:rPr>
          <w:rStyle w:val="25"/>
        </w:rPr>
        <w:t>https://doi.org/10.1109/TAFFC.2019.2908837</w:t>
      </w:r>
      <w:r>
        <w:rPr>
          <w:rStyle w:val="25"/>
        </w:rPr>
        <w:fldChar w:fldCharType="end"/>
      </w:r>
    </w:p>
    <w:p w14:paraId="3FC6761C">
      <w:pPr>
        <w:ind w:left="420" w:hanging="420" w:hangingChars="20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r>
        <w:fldChar w:fldCharType="begin"/>
      </w:r>
      <w:r>
        <w:instrText xml:space="preserve"> HYPERLINK "https://doi.org/10.1109/CIC62241.2024.00013" </w:instrText>
      </w:r>
      <w:r>
        <w:fldChar w:fldCharType="separate"/>
      </w:r>
      <w:r>
        <w:rPr>
          <w:rStyle w:val="25"/>
        </w:rPr>
        <w:t>https://doi.org/10.1109/CIC62241.2024.00013</w:t>
      </w:r>
      <w:r>
        <w:rPr>
          <w:rStyle w:val="25"/>
        </w:rPr>
        <w:fldChar w:fldCharType="end"/>
      </w:r>
    </w:p>
    <w:p w14:paraId="3BADF972">
      <w:pPr>
        <w:ind w:left="420" w:hanging="420" w:hangingChars="200"/>
        <w:jc w:val="left"/>
      </w:pPr>
      <w:r>
        <w:t>Manly, T., Robertson, I. H., Galloway, M., &amp; Hawkins, K. (1999). The absent mind: Further investigations of sustained attention to response. </w:t>
      </w:r>
      <w:r>
        <w:rPr>
          <w:i/>
          <w:iCs/>
        </w:rPr>
        <w:t>Neuropsychologia, 37</w:t>
      </w:r>
      <w:r>
        <w:t>(6), 661–670. </w:t>
      </w:r>
      <w:r>
        <w:fldChar w:fldCharType="begin"/>
      </w:r>
      <w:r>
        <w:instrText xml:space="preserve"> HYPERLINK "https://doi.org/10.1016/S0028-3932(98)00127-4" </w:instrText>
      </w:r>
      <w:r>
        <w:fldChar w:fldCharType="separate"/>
      </w:r>
      <w:r>
        <w:rPr>
          <w:rStyle w:val="25"/>
        </w:rPr>
        <w:t>https://doi.org/10.1016/S0028-3932(98)00127-4</w:t>
      </w:r>
      <w:r>
        <w:rPr>
          <w:rStyle w:val="25"/>
        </w:rPr>
        <w:fldChar w:fldCharType="end"/>
      </w:r>
    </w:p>
    <w:p w14:paraId="1C476C20">
      <w:pPr>
        <w:ind w:left="420" w:hanging="420" w:hangingChars="200"/>
        <w:jc w:val="left"/>
      </w:pPr>
      <w:r>
        <w:t>Paterniani, G., Sgreccia, D., Davoli, A., Guerzoni, G., Di Viesti, P., Valenti, A. C., Vitolo, M., Vitetta, G. M., &amp; Boriani, G. (2023). Radar-based monitoring of vital signs: A tutorial overview. </w:t>
      </w:r>
      <w:r>
        <w:rPr>
          <w:i/>
          <w:iCs/>
        </w:rPr>
        <w:t>Proceedings of the IEEE, 111</w:t>
      </w:r>
      <w:r>
        <w:t>(3), 277–317. </w:t>
      </w:r>
      <w:r>
        <w:fldChar w:fldCharType="begin"/>
      </w:r>
      <w:r>
        <w:instrText xml:space="preserve"> HYPERLINK "https://doi.org/10.1109/JPROC.2023.3244362" </w:instrText>
      </w:r>
      <w:r>
        <w:fldChar w:fldCharType="separate"/>
      </w:r>
      <w:r>
        <w:rPr>
          <w:rStyle w:val="25"/>
        </w:rPr>
        <w:t>https://doi.org/10.1109/JPROC.2023.3244362</w:t>
      </w:r>
      <w:r>
        <w:rPr>
          <w:rStyle w:val="25"/>
        </w:rPr>
        <w:fldChar w:fldCharType="end"/>
      </w:r>
    </w:p>
    <w:p w14:paraId="7B0BB5B4">
      <w:pPr>
        <w:ind w:left="420" w:hanging="420" w:hangingChars="200"/>
        <w:jc w:val="left"/>
      </w:pPr>
      <w:r>
        <w:t>Robertson, I. H., Manly, T., Andrade, J., Baddeley, B. T., &amp; Yiend, J. (1997). ‘Oops!’: Performance correlates of everyday attentional failures in traumatic brain injured and normal subjects. </w:t>
      </w:r>
      <w:r>
        <w:rPr>
          <w:i/>
          <w:iCs/>
        </w:rPr>
        <w:t>Neuropsychologia, 35</w:t>
      </w:r>
      <w:r>
        <w:t>(6), 747–758. </w:t>
      </w:r>
      <w:r>
        <w:fldChar w:fldCharType="begin"/>
      </w:r>
      <w:r>
        <w:instrText xml:space="preserve"> HYPERLINK "https://doi.org/10.1016/S0028-3932(97)00015-8" </w:instrText>
      </w:r>
      <w:r>
        <w:fldChar w:fldCharType="separate"/>
      </w:r>
      <w:r>
        <w:rPr>
          <w:rStyle w:val="25"/>
        </w:rPr>
        <w:t>https://doi.org/10.1016/S0028-3932(97)00015-8</w:t>
      </w:r>
      <w:r>
        <w:rPr>
          <w:rStyle w:val="25"/>
        </w:rPr>
        <w:fldChar w:fldCharType="end"/>
      </w:r>
    </w:p>
    <w:p w14:paraId="0B46AF6F">
      <w:pPr>
        <w:ind w:left="420" w:hanging="420" w:hangingChars="200"/>
        <w:jc w:val="left"/>
      </w:pPr>
      <w:r>
        <w:t>Sarter, M., Givens, B., &amp; Bruno, J. P. (2001). The cognitive neuroscience of sustained attention: Where top-down meets bottom-up. </w:t>
      </w:r>
      <w:r>
        <w:rPr>
          <w:i/>
          <w:iCs/>
        </w:rPr>
        <w:t>Brain Research Reviews, 35</w:t>
      </w:r>
      <w:r>
        <w:t>(2), 146–160. </w:t>
      </w:r>
      <w:r>
        <w:fldChar w:fldCharType="begin"/>
      </w:r>
      <w:r>
        <w:instrText xml:space="preserve"> HYPERLINK "https://doi.org/10.1016/S0165-0173(01)00044-3" </w:instrText>
      </w:r>
      <w:r>
        <w:fldChar w:fldCharType="separate"/>
      </w:r>
      <w:r>
        <w:rPr>
          <w:rStyle w:val="25"/>
        </w:rPr>
        <w:t>https://doi.org/10.1016/S0165-0173(01)00044-3</w:t>
      </w:r>
      <w:r>
        <w:rPr>
          <w:rStyle w:val="25"/>
        </w:rPr>
        <w:fldChar w:fldCharType="end"/>
      </w:r>
    </w:p>
    <w:p w14:paraId="31C4DE50">
      <w:pPr>
        <w:ind w:left="420" w:hanging="420" w:hangingChars="200"/>
        <w:jc w:val="left"/>
      </w:pPr>
      <w:r>
        <w:t>Smallwood, J., &amp; Schooler, J. W. (2006). The restless mind. </w:t>
      </w:r>
      <w:r>
        <w:rPr>
          <w:i/>
          <w:iCs/>
        </w:rPr>
        <w:t>Psychological Bulletin, 132</w:t>
      </w:r>
      <w:r>
        <w:t>(6), 946–958. </w:t>
      </w:r>
      <w:r>
        <w:fldChar w:fldCharType="begin"/>
      </w:r>
      <w:r>
        <w:instrText xml:space="preserve"> HYPERLINK "https://doi.org/10.1037/0033-2909.132.6.946" </w:instrText>
      </w:r>
      <w:r>
        <w:fldChar w:fldCharType="separate"/>
      </w:r>
      <w:r>
        <w:rPr>
          <w:rStyle w:val="25"/>
        </w:rPr>
        <w:t>https://doi.org/10.1037/0033-2909.132.6.946</w:t>
      </w:r>
      <w:r>
        <w:rPr>
          <w:rStyle w:val="25"/>
        </w:rPr>
        <w:fldChar w:fldCharType="end"/>
      </w:r>
    </w:p>
    <w:p w14:paraId="6891643F">
      <w:pPr>
        <w:ind w:left="420" w:hanging="420" w:hangingChars="200"/>
        <w:jc w:val="left"/>
      </w:pPr>
      <w:r>
        <w:t>Wang, F., Zeng, X., Wu, C., Wang, B., &amp; Liu, K. J. R. (2021). mmHRV: Contactless heart rate variability monitoring using millimeter-wave radio. </w:t>
      </w:r>
      <w:r>
        <w:rPr>
          <w:i/>
          <w:iCs/>
        </w:rPr>
        <w:t>IEEE Internet of Things Journal, 8</w:t>
      </w:r>
      <w:r>
        <w:t>(22), 16623–16636. </w:t>
      </w:r>
      <w:r>
        <w:fldChar w:fldCharType="begin"/>
      </w:r>
      <w:r>
        <w:instrText xml:space="preserve"> HYPERLINK "https://doi.org/10.1109/JIOT.2021.3075167" </w:instrText>
      </w:r>
      <w:r>
        <w:fldChar w:fldCharType="separate"/>
      </w:r>
      <w:r>
        <w:rPr>
          <w:rStyle w:val="25"/>
        </w:rPr>
        <w:t>https://doi.org/10.1109/JIOT.2021.3075167</w:t>
      </w:r>
      <w:r>
        <w:rPr>
          <w:rStyle w:val="25"/>
        </w:rPr>
        <w:fldChar w:fldCharType="end"/>
      </w:r>
    </w:p>
    <w:p w14:paraId="0D98C6AA">
      <w:pPr>
        <w:ind w:left="420" w:hanging="420" w:hangingChars="200"/>
        <w:jc w:val="left"/>
      </w:pPr>
      <w:r>
        <w:t>Corcoran, A. W., Le Coz, A., Hohwy, J., &amp; Andrillon, T. (2025). When your heart isn’t in it anymore: Cardiac correlates of task disengagement. </w:t>
      </w:r>
      <w:r>
        <w:rPr>
          <w:i/>
          <w:iCs/>
        </w:rPr>
        <w:t>Communications Biology, 8</w:t>
      </w:r>
      <w:r>
        <w:t>, 1646. </w:t>
      </w:r>
      <w:r>
        <w:fldChar w:fldCharType="begin"/>
      </w:r>
      <w:r>
        <w:instrText xml:space="preserve"> HYPERLINK "https://doi.org/10.1038/s42003-025-09026-3" </w:instrText>
      </w:r>
      <w:r>
        <w:fldChar w:fldCharType="separate"/>
      </w:r>
      <w:r>
        <w:rPr>
          <w:rStyle w:val="25"/>
        </w:rPr>
        <w:t>https://doi.org/10.1038/s42003-025-09026-3</w:t>
      </w:r>
      <w:r>
        <w:rPr>
          <w:rStyle w:val="25"/>
        </w:rPr>
        <w:fldChar w:fldCharType="end"/>
      </w:r>
    </w:p>
    <w:p w14:paraId="390A32D6">
      <w:pPr>
        <w:ind w:left="420" w:hanging="420" w:hangingChars="200"/>
        <w:jc w:val="left"/>
      </w:pPr>
      <w:r>
        <w:t>Manly, T., Robertson, I. H., Galloway, M., &amp; Hawkins, K. (1999). The absent mind: Further investigations of sustained attention to response. </w:t>
      </w:r>
      <w:r>
        <w:rPr>
          <w:i/>
          <w:iCs/>
        </w:rPr>
        <w:t>Neuropsychologia, 37</w:t>
      </w:r>
      <w:r>
        <w:t>(6), 661–670. </w:t>
      </w:r>
      <w:r>
        <w:fldChar w:fldCharType="begin"/>
      </w:r>
      <w:r>
        <w:instrText xml:space="preserve"> HYPERLINK "https://doi.org/10.1016/S0028-3932(98)00127-4" </w:instrText>
      </w:r>
      <w:r>
        <w:fldChar w:fldCharType="separate"/>
      </w:r>
      <w:r>
        <w:rPr>
          <w:rStyle w:val="25"/>
        </w:rPr>
        <w:t>https://doi.org/10.1016/S0028-3932(98)00127-4</w:t>
      </w:r>
      <w:r>
        <w:rPr>
          <w:rStyle w:val="25"/>
        </w:rPr>
        <w:fldChar w:fldCharType="end"/>
      </w:r>
    </w:p>
    <w:p w14:paraId="574D15BB">
      <w:pPr>
        <w:ind w:left="420" w:hanging="420" w:hangingChars="200"/>
        <w:jc w:val="left"/>
      </w:pPr>
      <w:r>
        <w:t>Robertson, I. H., Manly, T., Andrade, J., Baddeley, B. T., &amp; Yiend, J. (1997). ‘Oops!’: Performance correlates of everyday attentional failures in traumatic brain injured and normal subjects. </w:t>
      </w:r>
      <w:r>
        <w:rPr>
          <w:i/>
          <w:iCs/>
        </w:rPr>
        <w:t>Neuropsychologia, 35</w:t>
      </w:r>
      <w:r>
        <w:t>(6), 747–758. </w:t>
      </w:r>
      <w:r>
        <w:fldChar w:fldCharType="begin"/>
      </w:r>
      <w:r>
        <w:instrText xml:space="preserve"> HYPERLINK "https://doi.org/10.1016/S0028-3932(97)00015-8" </w:instrText>
      </w:r>
      <w:r>
        <w:fldChar w:fldCharType="separate"/>
      </w:r>
      <w:r>
        <w:rPr>
          <w:rStyle w:val="25"/>
        </w:rPr>
        <w:t>https://doi.org/10.1016/S0028-3932(97)00015-8</w:t>
      </w:r>
      <w:r>
        <w:rPr>
          <w:rStyle w:val="25"/>
        </w:rPr>
        <w:fldChar w:fldCharType="end"/>
      </w:r>
    </w:p>
    <w:p w14:paraId="4347868B">
      <w:pPr>
        <w:ind w:left="420" w:hanging="420" w:hangingChars="200"/>
        <w:jc w:val="left"/>
      </w:pPr>
      <w:r>
        <w:t>Sarter, M., Givens, B., &amp; Bruno, J. P. (2001). The cognitive neuroscience of sustained attention: Where top-down meets bottom-up. </w:t>
      </w:r>
      <w:r>
        <w:rPr>
          <w:i/>
          <w:iCs/>
        </w:rPr>
        <w:t>Brain Research Reviews, 35</w:t>
      </w:r>
      <w:r>
        <w:t>(2), 146–160. </w:t>
      </w:r>
      <w:r>
        <w:fldChar w:fldCharType="begin"/>
      </w:r>
      <w:r>
        <w:instrText xml:space="preserve"> HYPERLINK "https://doi.org/10.1016/S0165-0173(01)00044-3" </w:instrText>
      </w:r>
      <w:r>
        <w:fldChar w:fldCharType="separate"/>
      </w:r>
      <w:r>
        <w:rPr>
          <w:rStyle w:val="25"/>
        </w:rPr>
        <w:t>https://doi.org/10.1016/S0165-0173(01)00044-3</w:t>
      </w:r>
      <w:r>
        <w:rPr>
          <w:rStyle w:val="25"/>
        </w:rPr>
        <w:fldChar w:fldCharType="end"/>
      </w:r>
    </w:p>
    <w:p w14:paraId="2A0153A5">
      <w:pPr>
        <w:ind w:left="420" w:hanging="420" w:hangingChars="200"/>
        <w:jc w:val="left"/>
      </w:pPr>
      <w:r>
        <w:t>Seli, P., Cheyne, J. A., Barton, K. R., &amp; Smilek, D. (2012). Consistency of sustained attention across modalities: Comparing visual and auditory versions of the SART. </w:t>
      </w:r>
      <w:r>
        <w:rPr>
          <w:i/>
          <w:iCs/>
        </w:rPr>
        <w:t>Canadian Journal of Experimental Psychology, 66</w:t>
      </w:r>
      <w:r>
        <w:t>(1), 44–50. </w:t>
      </w:r>
      <w:r>
        <w:fldChar w:fldCharType="begin"/>
      </w:r>
      <w:r>
        <w:instrText xml:space="preserve"> HYPERLINK "https://doi.org/10.1037/a0025111" </w:instrText>
      </w:r>
      <w:r>
        <w:fldChar w:fldCharType="separate"/>
      </w:r>
      <w:r>
        <w:rPr>
          <w:rStyle w:val="25"/>
        </w:rPr>
        <w:t>https://doi.org/10.1037/a0025111</w:t>
      </w:r>
      <w:r>
        <w:rPr>
          <w:rStyle w:val="25"/>
        </w:rPr>
        <w:fldChar w:fldCharType="end"/>
      </w:r>
    </w:p>
    <w:p w14:paraId="0FF2AFEB">
      <w:pPr>
        <w:ind w:left="420" w:hanging="420" w:hangingChars="200"/>
        <w:jc w:val="left"/>
      </w:pPr>
      <w:r>
        <w:t>Smallwood, J., &amp; Schooler, J. W. (2015). The science of mind wandering: Empirically navigating the stream of consciousness. </w:t>
      </w:r>
      <w:r>
        <w:rPr>
          <w:i/>
          <w:iCs/>
        </w:rPr>
        <w:t>Annual Review of Psychology, 66</w:t>
      </w:r>
      <w:r>
        <w:t>, 487–518. </w:t>
      </w:r>
      <w:r>
        <w:fldChar w:fldCharType="begin"/>
      </w:r>
      <w:r>
        <w:instrText xml:space="preserve"> HYPERLINK "https://doi.org/10.1146/annurev-psych-010814-015331" </w:instrText>
      </w:r>
      <w:r>
        <w:fldChar w:fldCharType="separate"/>
      </w:r>
      <w:r>
        <w:rPr>
          <w:rStyle w:val="25"/>
        </w:rPr>
        <w:t>https://doi.org/10.1146/annurev-psych-010814-015331</w:t>
      </w:r>
      <w:r>
        <w:rPr>
          <w:rStyle w:val="25"/>
        </w:rPr>
        <w:fldChar w:fldCharType="end"/>
      </w:r>
    </w:p>
    <w:p w14:paraId="6C538F14">
      <w:pPr>
        <w:ind w:left="420" w:hanging="420" w:hangingChars="200"/>
        <w:jc w:val="left"/>
      </w:pPr>
      <w:r>
        <w:t>Wiemers, E. A., &amp; Redick, T. S. (2019). The influence of thought probes on performance: Does the mind wander more if you ask it? </w:t>
      </w:r>
      <w:r>
        <w:rPr>
          <w:i/>
          <w:iCs/>
        </w:rPr>
        <w:t>Psychonomic Bulletin &amp; Review, 26</w:t>
      </w:r>
      <w:r>
        <w:t>(1), 367–373. </w:t>
      </w:r>
      <w:r>
        <w:fldChar w:fldCharType="begin"/>
      </w:r>
      <w:r>
        <w:instrText xml:space="preserve"> HYPERLINK "https://doi.org/10.3758/s13423-018-1529-3" </w:instrText>
      </w:r>
      <w:r>
        <w:fldChar w:fldCharType="separate"/>
      </w:r>
      <w:r>
        <w:rPr>
          <w:rStyle w:val="25"/>
        </w:rPr>
        <w:t>https://doi.org/10.3758/s13423-018-1529-3</w:t>
      </w:r>
      <w:r>
        <w:rPr>
          <w:rStyle w:val="25"/>
        </w:rPr>
        <w:fldChar w:fldCharType="end"/>
      </w:r>
    </w:p>
    <w:p w14:paraId="0145C0A6">
      <w:pPr>
        <w:ind w:left="420" w:hanging="420" w:hangingChars="200"/>
        <w:jc w:val="left"/>
      </w:pPr>
      <w:r>
        <w:t>Barry, C., De Souza, J., Xuan, Y., Holden, J., Granholm, E., &amp; Wang, E. J. (2022). At-home pupillometry using smartphone facial identification cameras. In </w:t>
      </w:r>
      <w:r>
        <w:rPr>
          <w:i/>
          <w:iCs/>
        </w:rPr>
        <w:t>CHI Conference on Human Factors in Computing Systems</w:t>
      </w:r>
      <w:r>
        <w:t> (Article 235, pp. 1–12). Association for Computing Machinery. </w:t>
      </w:r>
      <w:r>
        <w:fldChar w:fldCharType="begin"/>
      </w:r>
      <w:r>
        <w:instrText xml:space="preserve"> HYPERLINK "https://doi.org/10.1145/3491102.3502493" </w:instrText>
      </w:r>
      <w:r>
        <w:fldChar w:fldCharType="separate"/>
      </w:r>
      <w:r>
        <w:rPr>
          <w:rStyle w:val="25"/>
        </w:rPr>
        <w:t>https://doi.org/10.1145/3491102.3502493</w:t>
      </w:r>
      <w:r>
        <w:rPr>
          <w:rStyle w:val="25"/>
        </w:rPr>
        <w:fldChar w:fldCharType="end"/>
      </w:r>
    </w:p>
    <w:p w14:paraId="6BFC434B">
      <w:pPr>
        <w:ind w:left="420" w:hanging="420" w:hangingChars="200"/>
        <w:jc w:val="left"/>
      </w:pPr>
      <w:r>
        <w:t>Corcoran, A. W., Le Coz, A., Hohwy, J., &amp; Andrillon, T. (2025). When your heart isn’t in it anymore: Cardiac correlates of task disengagement. </w:t>
      </w:r>
      <w:r>
        <w:rPr>
          <w:i/>
          <w:iCs/>
        </w:rPr>
        <w:t>Communications Biology, 8</w:t>
      </w:r>
      <w:r>
        <w:t>, 1646. </w:t>
      </w:r>
      <w:r>
        <w:fldChar w:fldCharType="begin"/>
      </w:r>
      <w:r>
        <w:instrText xml:space="preserve"> HYPERLINK "https://doi.org/10.1038/s42003-025-09026-3" </w:instrText>
      </w:r>
      <w:r>
        <w:fldChar w:fldCharType="separate"/>
      </w:r>
      <w:r>
        <w:rPr>
          <w:rStyle w:val="25"/>
        </w:rPr>
        <w:t>https://doi.org/10.1038/s42003-025-09026-3</w:t>
      </w:r>
      <w:r>
        <w:rPr>
          <w:rStyle w:val="25"/>
        </w:rPr>
        <w:fldChar w:fldCharType="end"/>
      </w:r>
    </w:p>
    <w:p w14:paraId="47AE8DC8">
      <w:pPr>
        <w:ind w:left="420" w:hanging="420" w:hangingChars="200"/>
        <w:jc w:val="left"/>
      </w:pPr>
      <w:r>
        <w:t>Kim, J. H., Yin, C., Merriam, E. P., &amp; Roth, Z. N. (2023). Pupil size is sensitive to low-level stimulus features, independent of arousal-related modulation. </w:t>
      </w:r>
      <w:r>
        <w:rPr>
          <w:i/>
          <w:iCs/>
        </w:rPr>
        <w:t>eNeuro, 10</w:t>
      </w:r>
      <w:r>
        <w:t>(10), ENEURO.0005-23.2023. </w:t>
      </w:r>
      <w:r>
        <w:fldChar w:fldCharType="begin"/>
      </w:r>
      <w:r>
        <w:instrText xml:space="preserve"> HYPERLINK "https://doi.org/10.1523/ENEURO.0005-23.2023" </w:instrText>
      </w:r>
      <w:r>
        <w:fldChar w:fldCharType="separate"/>
      </w:r>
      <w:r>
        <w:rPr>
          <w:rStyle w:val="25"/>
        </w:rPr>
        <w:t>https://doi.org/10.1523/ENEURO.0005-23.2023</w:t>
      </w:r>
      <w:r>
        <w:rPr>
          <w:rStyle w:val="25"/>
        </w:rPr>
        <w:fldChar w:fldCharType="end"/>
      </w:r>
    </w:p>
    <w:p w14:paraId="0E820880">
      <w:pPr>
        <w:ind w:left="420" w:hanging="420" w:hangingChars="200"/>
        <w:jc w:val="left"/>
      </w:pPr>
      <w:r>
        <w:t>Kret, M. E., &amp; Sjak-Shie, E. E. (2019). Preprocessing pupil size data: Guidelines and code. </w:t>
      </w:r>
      <w:r>
        <w:rPr>
          <w:i/>
          <w:iCs/>
        </w:rPr>
        <w:t>Behavior Research Methods, 51</w:t>
      </w:r>
      <w:r>
        <w:t>(3), 1336–1342. </w:t>
      </w:r>
      <w:r>
        <w:fldChar w:fldCharType="begin"/>
      </w:r>
      <w:r>
        <w:instrText xml:space="preserve"> HYPERLINK "https://doi.org/10.3758/s13428-018-1075-y" </w:instrText>
      </w:r>
      <w:r>
        <w:fldChar w:fldCharType="separate"/>
      </w:r>
      <w:r>
        <w:rPr>
          <w:rStyle w:val="25"/>
        </w:rPr>
        <w:t>https://doi.org/10.3758/s13428-018-1075-y</w:t>
      </w:r>
      <w:r>
        <w:rPr>
          <w:rStyle w:val="25"/>
        </w:rPr>
        <w:fldChar w:fldCharType="end"/>
      </w:r>
    </w:p>
    <w:p w14:paraId="2D8CDDFC">
      <w:pPr>
        <w:ind w:left="420" w:hanging="420" w:hangingChars="200"/>
        <w:jc w:val="left"/>
      </w:pPr>
      <w:r>
        <w:t>Mathôt, S. (2018). Pupillometry: Psychology, physiology, and function. </w:t>
      </w:r>
      <w:r>
        <w:rPr>
          <w:i/>
          <w:iCs/>
        </w:rPr>
        <w:t>Journal of Cognition, 1</w:t>
      </w:r>
      <w:r>
        <w:t>(1), 16. </w:t>
      </w:r>
      <w:r>
        <w:fldChar w:fldCharType="begin"/>
      </w:r>
      <w:r>
        <w:instrText xml:space="preserve"> HYPERLINK "https://doi.org/10.5334/joc.18" </w:instrText>
      </w:r>
      <w:r>
        <w:fldChar w:fldCharType="separate"/>
      </w:r>
      <w:r>
        <w:rPr>
          <w:rStyle w:val="25"/>
        </w:rPr>
        <w:t>https://doi.org/10.5334/joc.18</w:t>
      </w:r>
      <w:r>
        <w:rPr>
          <w:rStyle w:val="25"/>
        </w:rPr>
        <w:fldChar w:fldCharType="end"/>
      </w:r>
    </w:p>
    <w:p w14:paraId="102CCAF7">
      <w:pPr>
        <w:ind w:left="420" w:hanging="420" w:hangingChars="200"/>
        <w:jc w:val="left"/>
      </w:pPr>
      <w:r>
        <w:t>Mathôt, S., Fabius, J., Van Heusden, E., &amp; Van der Stigchel, S. (2018). Safe and sensible preprocessing and baseline correction of pupil-size data. </w:t>
      </w:r>
      <w:r>
        <w:rPr>
          <w:i/>
          <w:iCs/>
        </w:rPr>
        <w:t>Behavior Research Methods, 50</w:t>
      </w:r>
      <w:r>
        <w:t>(1), 94–106. </w:t>
      </w:r>
      <w:r>
        <w:fldChar w:fldCharType="begin"/>
      </w:r>
      <w:r>
        <w:instrText xml:space="preserve"> HYPERLINK "https://doi.org/10.3758/s13428-017-1007-2" </w:instrText>
      </w:r>
      <w:r>
        <w:fldChar w:fldCharType="separate"/>
      </w:r>
      <w:r>
        <w:rPr>
          <w:rStyle w:val="25"/>
        </w:rPr>
        <w:t>https://doi.org/10.3758/s13428-017-1007-2</w:t>
      </w:r>
      <w:r>
        <w:rPr>
          <w:rStyle w:val="25"/>
        </w:rPr>
        <w:fldChar w:fldCharType="end"/>
      </w:r>
    </w:p>
    <w:p w14:paraId="217324F9">
      <w:pPr>
        <w:ind w:left="420" w:hanging="420" w:hangingChars="200"/>
        <w:jc w:val="left"/>
      </w:pPr>
      <w:r>
        <w:t>Strauch, C., Wang, C.-A., Einhäuser, W., Van der Stigchel, S., &amp; Naber, M. (2022). Pupillometry as an integrated readout of distinct attentional networks. </w:t>
      </w:r>
      <w:r>
        <w:rPr>
          <w:i/>
          <w:iCs/>
        </w:rPr>
        <w:t>Trends in Neurosciences, 45</w:t>
      </w:r>
      <w:r>
        <w:t>(8), 635–647. </w:t>
      </w:r>
      <w:r>
        <w:fldChar w:fldCharType="begin"/>
      </w:r>
      <w:r>
        <w:instrText xml:space="preserve"> HYPERLINK "https://doi.org/10.1016/j.tins.2022.05.003" </w:instrText>
      </w:r>
      <w:r>
        <w:fldChar w:fldCharType="separate"/>
      </w:r>
      <w:r>
        <w:rPr>
          <w:rStyle w:val="25"/>
        </w:rPr>
        <w:t>https://doi.org/10.1016/j.tins.2022.05.003</w:t>
      </w:r>
      <w:r>
        <w:rPr>
          <w:rStyle w:val="25"/>
        </w:rPr>
        <w:fldChar w:fldCharType="end"/>
      </w:r>
    </w:p>
    <w:p w14:paraId="595E239F">
      <w:pPr>
        <w:ind w:left="420" w:hanging="420" w:hangingChars="200"/>
        <w:jc w:val="left"/>
      </w:pPr>
      <w:r>
        <w:t>Unsworth, N., Robison, M. K., &amp; Miller, A. L. (2018). Pupillary correlates of fluctuations in sustained attention. </w:t>
      </w:r>
      <w:r>
        <w:rPr>
          <w:i/>
          <w:iCs/>
        </w:rPr>
        <w:t>Journal of Cognitive Neuroscience, 30</w:t>
      </w:r>
      <w:r>
        <w:t>(9), 1241–1253. </w:t>
      </w:r>
      <w:r>
        <w:fldChar w:fldCharType="begin"/>
      </w:r>
      <w:r>
        <w:instrText xml:space="preserve"> HYPERLINK "https://doi.org/10.1162/jocn_a_01251" </w:instrText>
      </w:r>
      <w:r>
        <w:fldChar w:fldCharType="separate"/>
      </w:r>
      <w:r>
        <w:rPr>
          <w:rStyle w:val="25"/>
        </w:rPr>
        <w:t>https://doi.org/10.1162/jocn_a_01251</w:t>
      </w:r>
      <w:r>
        <w:rPr>
          <w:rStyle w:val="25"/>
        </w:rPr>
        <w:fldChar w:fldCharType="end"/>
      </w:r>
    </w:p>
    <w:p w14:paraId="0B896953">
      <w:pPr>
        <w:ind w:left="420" w:hanging="420" w:hangingChars="200"/>
        <w:jc w:val="left"/>
      </w:pPr>
      <w:r>
        <w:t>van den Brink, R. L., Murphy, P. R., &amp; Nieuwenhuis, S. (2016). Pupil diameter tracks lapses of attention. </w:t>
      </w:r>
      <w:r>
        <w:rPr>
          <w:i/>
          <w:iCs/>
        </w:rPr>
        <w:t>PLOS ONE, 11</w:t>
      </w:r>
      <w:r>
        <w:t>(10), e0165274. </w:t>
      </w:r>
      <w:r>
        <w:fldChar w:fldCharType="begin"/>
      </w:r>
      <w:r>
        <w:instrText xml:space="preserve"> HYPERLINK "https://doi.org/10.1371/journal.pone.0165274" </w:instrText>
      </w:r>
      <w:r>
        <w:fldChar w:fldCharType="separate"/>
      </w:r>
      <w:r>
        <w:rPr>
          <w:rStyle w:val="25"/>
        </w:rPr>
        <w:t>https://doi.org/10.1371/journal.pone.0165274</w:t>
      </w:r>
      <w:r>
        <w:rPr>
          <w:rStyle w:val="25"/>
        </w:rPr>
        <w:fldChar w:fldCharType="end"/>
      </w:r>
    </w:p>
    <w:p w14:paraId="46CE2C79">
      <w:pPr>
        <w:ind w:left="420" w:hanging="420" w:hangingChars="200"/>
        <w:jc w:val="left"/>
      </w:pPr>
      <w:r>
        <w:t>Carriere, J. S. A., Seli, P., &amp; Smilek, D. (2013). Wandering in both mind and body: Individual differences in mind wandering and inattention predict fidgeting. </w:t>
      </w:r>
      <w:r>
        <w:rPr>
          <w:i/>
          <w:iCs/>
        </w:rPr>
        <w:t>Canadian Journal of Experimental Psychology, 67</w:t>
      </w:r>
      <w:r>
        <w:t>(1), 19–31. </w:t>
      </w:r>
      <w:r>
        <w:fldChar w:fldCharType="begin"/>
      </w:r>
      <w:r>
        <w:instrText xml:space="preserve"> HYPERLINK "https://doi.org/10.1037/a0031438" </w:instrText>
      </w:r>
      <w:r>
        <w:fldChar w:fldCharType="separate"/>
      </w:r>
      <w:r>
        <w:rPr>
          <w:rStyle w:val="25"/>
        </w:rPr>
        <w:t>https://doi.org/10.1037/a0031438</w:t>
      </w:r>
      <w:r>
        <w:rPr>
          <w:rStyle w:val="25"/>
        </w:rPr>
        <w:fldChar w:fldCharType="end"/>
      </w:r>
    </w:p>
    <w:p w14:paraId="6E8CEAD5">
      <w:pPr>
        <w:ind w:left="420" w:hanging="420" w:hangingChars="200"/>
        <w:jc w:val="left"/>
      </w:pPr>
      <w:r>
        <w:t>Corcoran, A. W., Le Coz, A., Hohwy, J., &amp; Andrillon, T. (2025). When your heart isn’t in it anymore: Cardiac correlates of task disengagement. </w:t>
      </w:r>
      <w:r>
        <w:rPr>
          <w:i/>
          <w:iCs/>
        </w:rPr>
        <w:t>Communications Biology, 8</w:t>
      </w:r>
      <w:r>
        <w:t>, 1646. </w:t>
      </w:r>
      <w:r>
        <w:fldChar w:fldCharType="begin"/>
      </w:r>
      <w:r>
        <w:instrText xml:space="preserve"> HYPERLINK "https://doi.org/10.1038/s42003-025-09026-3" </w:instrText>
      </w:r>
      <w:r>
        <w:fldChar w:fldCharType="separate"/>
      </w:r>
      <w:r>
        <w:rPr>
          <w:rStyle w:val="25"/>
        </w:rPr>
        <w:t>https://doi.org/10.1038/s42003-025-09026-3</w:t>
      </w:r>
      <w:r>
        <w:rPr>
          <w:rStyle w:val="25"/>
        </w:rPr>
        <w:fldChar w:fldCharType="end"/>
      </w:r>
    </w:p>
    <w:p w14:paraId="2F19D528">
      <w:pPr>
        <w:ind w:left="420" w:hanging="420" w:hangingChars="200"/>
        <w:jc w:val="left"/>
      </w:pPr>
      <w:r>
        <w:t>Farley, J., Risko, E. F., &amp; Kingstone, A. (2013). Everyday attention and lecture retention: The effects of time, fidgeting, and mind wandering. </w:t>
      </w:r>
      <w:r>
        <w:rPr>
          <w:i/>
          <w:iCs/>
        </w:rPr>
        <w:t>Frontiers in Psychology, 4</w:t>
      </w:r>
      <w:r>
        <w:t>, 619. </w:t>
      </w:r>
      <w:r>
        <w:fldChar w:fldCharType="begin"/>
      </w:r>
      <w:r>
        <w:instrText xml:space="preserve"> HYPERLINK "https://doi.org/10.3389/fpsyg.2013.00619" </w:instrText>
      </w:r>
      <w:r>
        <w:fldChar w:fldCharType="separate"/>
      </w:r>
      <w:r>
        <w:rPr>
          <w:rStyle w:val="25"/>
        </w:rPr>
        <w:t>https://doi.org/10.3389/fpsyg.2013.00619</w:t>
      </w:r>
      <w:r>
        <w:rPr>
          <w:rStyle w:val="25"/>
        </w:rPr>
        <w:fldChar w:fldCharType="end"/>
      </w:r>
    </w:p>
    <w:p w14:paraId="0D13290A">
      <w:pPr>
        <w:ind w:left="420" w:hanging="420" w:hangingChars="200"/>
        <w:jc w:val="left"/>
      </w:pPr>
      <w:r>
        <w:t>Hansen, A. L., Johnsen, B. H., &amp; Thayer, J. F. (2003). Vagal influence on working memory and attention. </w:t>
      </w:r>
      <w:r>
        <w:rPr>
          <w:i/>
          <w:iCs/>
        </w:rPr>
        <w:t>International Journal of Psychophysiology, 48</w:t>
      </w:r>
      <w:r>
        <w:t>(3), 263–274. </w:t>
      </w:r>
      <w:r>
        <w:fldChar w:fldCharType="begin"/>
      </w:r>
      <w:r>
        <w:instrText xml:space="preserve"> HYPERLINK "https://doi.org/10.1016/S0167-8760(03)00073-4" </w:instrText>
      </w:r>
      <w:r>
        <w:fldChar w:fldCharType="separate"/>
      </w:r>
      <w:r>
        <w:rPr>
          <w:rStyle w:val="25"/>
        </w:rPr>
        <w:t>https://doi.org/10.1016/S0167-8760(03)00073-4</w:t>
      </w:r>
      <w:r>
        <w:rPr>
          <w:rStyle w:val="25"/>
        </w:rPr>
        <w:fldChar w:fldCharType="end"/>
      </w:r>
    </w:p>
    <w:p w14:paraId="331A1F61">
      <w:pPr>
        <w:ind w:left="420" w:hanging="420" w:hangingChars="200"/>
        <w:jc w:val="left"/>
      </w:pPr>
      <w:r>
        <w:t>Melnychuk, M. C., Dockree, P. M., O’Connell, R. G., Murphy, P. R., Balsters, J. H., &amp; Robertson, I. H. (2018). Coupling of respiration and attention via the locus coeruleus: Effects of meditation and pranayama. </w:t>
      </w:r>
      <w:r>
        <w:rPr>
          <w:i/>
          <w:iCs/>
        </w:rPr>
        <w:t>Psychophysiology, 55</w:t>
      </w:r>
      <w:r>
        <w:t>(9), e13091. </w:t>
      </w:r>
      <w:r>
        <w:fldChar w:fldCharType="begin"/>
      </w:r>
      <w:r>
        <w:instrText xml:space="preserve"> HYPERLINK "https://doi.org/10.1111/psyp.13091" </w:instrText>
      </w:r>
      <w:r>
        <w:fldChar w:fldCharType="separate"/>
      </w:r>
      <w:r>
        <w:rPr>
          <w:rStyle w:val="25"/>
        </w:rPr>
        <w:t>https://doi.org/10.1111/psyp.13091</w:t>
      </w:r>
      <w:r>
        <w:rPr>
          <w:rStyle w:val="25"/>
        </w:rPr>
        <w:fldChar w:fldCharType="end"/>
      </w:r>
    </w:p>
    <w:p w14:paraId="0C328F4D">
      <w:pPr>
        <w:ind w:left="420" w:hanging="420" w:hangingChars="200"/>
        <w:jc w:val="left"/>
      </w:pPr>
      <w:r>
        <w:t>Smallwood, J., Davies, J. B., Heim, D., Finnigan, F., Sudberry, M., O’Connor, R., &amp; Obonsawin, M. (2004). Subjective experience and the attentional lapse: Task engagement and disengagement during sustained attention. </w:t>
      </w:r>
      <w:r>
        <w:rPr>
          <w:i/>
          <w:iCs/>
        </w:rPr>
        <w:t>Consciousness and Cognition, 13</w:t>
      </w:r>
      <w:r>
        <w:t>(4), 657–690. </w:t>
      </w:r>
      <w:r>
        <w:fldChar w:fldCharType="begin"/>
      </w:r>
      <w:r>
        <w:instrText xml:space="preserve"> HYPERLINK "https://doi.org/10.1016/j.concog.2004.06.003" </w:instrText>
      </w:r>
      <w:r>
        <w:fldChar w:fldCharType="separate"/>
      </w:r>
      <w:r>
        <w:rPr>
          <w:rStyle w:val="25"/>
        </w:rPr>
        <w:t>https://doi.org/10.1016/j.concog.2004.06.003</w:t>
      </w:r>
      <w:r>
        <w:rPr>
          <w:rStyle w:val="25"/>
        </w:rPr>
        <w:fldChar w:fldCharType="end"/>
      </w:r>
    </w:p>
    <w:p w14:paraId="0AB04642">
      <w:pPr>
        <w:ind w:left="420" w:hanging="420" w:hangingChars="200"/>
        <w:jc w:val="left"/>
      </w:pPr>
      <w:r>
        <w:t>Sorella, S., Matiz, A., Chittaro, L., Malinowski, P., &amp; Crescentini, C. (2026). Cardiac and ocular correlates of mind wandering in meditators and non-meditators during a sustained attention to response task. </w:t>
      </w:r>
      <w:r>
        <w:rPr>
          <w:i/>
          <w:iCs/>
        </w:rPr>
        <w:t>Current Psychology, 45</w:t>
      </w:r>
      <w:r>
        <w:t>, 1386. </w:t>
      </w:r>
      <w:r>
        <w:fldChar w:fldCharType="begin"/>
      </w:r>
      <w:r>
        <w:instrText xml:space="preserve"> HYPERLINK "https://doi.org/10.1007/s12144-026-09946-1" </w:instrText>
      </w:r>
      <w:r>
        <w:fldChar w:fldCharType="separate"/>
      </w:r>
      <w:r>
        <w:rPr>
          <w:rStyle w:val="25"/>
        </w:rPr>
        <w:t>https://doi.org/10.1007/s12144-026-09946-1</w:t>
      </w:r>
      <w:r>
        <w:rPr>
          <w:rStyle w:val="25"/>
        </w:rPr>
        <w:fldChar w:fldCharType="end"/>
      </w:r>
    </w:p>
    <w:p w14:paraId="33F15A09">
      <w:pPr>
        <w:ind w:left="420" w:hanging="420" w:hangingChars="200"/>
        <w:jc w:val="left"/>
      </w:pPr>
      <w:r>
        <w:t>Bosch, N., &amp; D'Mello, S. K. (2021). Automatic detection of mind wandering from video in the lab and in the classroom. </w:t>
      </w:r>
      <w:r>
        <w:rPr>
          <w:i/>
          <w:iCs/>
        </w:rPr>
        <w:t>IEEE Transactions on Affective Computing, 12</w:t>
      </w:r>
      <w:r>
        <w:t>(4), 974–988. </w:t>
      </w:r>
      <w:r>
        <w:fldChar w:fldCharType="begin"/>
      </w:r>
      <w:r>
        <w:instrText xml:space="preserve"> HYPERLINK "https://doi.org/10.1109/TAFFC.2019.2908837" </w:instrText>
      </w:r>
      <w:r>
        <w:fldChar w:fldCharType="separate"/>
      </w:r>
      <w:r>
        <w:rPr>
          <w:rStyle w:val="25"/>
        </w:rPr>
        <w:t>https://doi.org/10.1109/TAFFC.2019.2908837</w:t>
      </w:r>
      <w:r>
        <w:rPr>
          <w:rStyle w:val="25"/>
        </w:rPr>
        <w:fldChar w:fldCharType="end"/>
      </w:r>
    </w:p>
    <w:p w14:paraId="4D17DD17">
      <w:pPr>
        <w:ind w:left="420" w:hanging="420" w:hangingChars="200"/>
        <w:jc w:val="left"/>
      </w:pPr>
      <w:r>
        <w:t>Chen, Y., Yuan, J., &amp; Tang, J. (2024). A high precision vital signs detection method based on millimeter wave radar. </w:t>
      </w:r>
      <w:r>
        <w:rPr>
          <w:i/>
          <w:iCs/>
        </w:rPr>
        <w:t>Scientific Reports, 14</w:t>
      </w:r>
      <w:r>
        <w:t>, 25535. </w:t>
      </w:r>
      <w:r>
        <w:fldChar w:fldCharType="begin"/>
      </w:r>
      <w:r>
        <w:instrText xml:space="preserve"> HYPERLINK "https://doi.org/10.1038/s41598-024-77683-1" </w:instrText>
      </w:r>
      <w:r>
        <w:fldChar w:fldCharType="separate"/>
      </w:r>
      <w:r>
        <w:rPr>
          <w:rStyle w:val="25"/>
        </w:rPr>
        <w:t>https://doi.org/10.1038/s41598-024-77683-1</w:t>
      </w:r>
      <w:r>
        <w:rPr>
          <w:rStyle w:val="25"/>
        </w:rPr>
        <w:fldChar w:fldCharType="end"/>
      </w:r>
    </w:p>
    <w:p w14:paraId="2789A2AF">
      <w:pPr>
        <w:ind w:left="420" w:hanging="420" w:hangingChars="20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r>
        <w:fldChar w:fldCharType="begin"/>
      </w:r>
      <w:r>
        <w:instrText xml:space="preserve"> HYPERLINK "https://doi.org/10.1109/CIC62241.2024.00013" </w:instrText>
      </w:r>
      <w:r>
        <w:fldChar w:fldCharType="separate"/>
      </w:r>
      <w:r>
        <w:rPr>
          <w:rStyle w:val="25"/>
        </w:rPr>
        <w:t>https://doi.org/10.1109/CIC62241.2024.00013</w:t>
      </w:r>
      <w:r>
        <w:rPr>
          <w:rStyle w:val="25"/>
        </w:rPr>
        <w:fldChar w:fldCharType="end"/>
      </w:r>
    </w:p>
    <w:p w14:paraId="6632D98E">
      <w:pPr>
        <w:ind w:left="420" w:hanging="420" w:hangingChars="200"/>
        <w:jc w:val="left"/>
      </w:pPr>
      <w:r>
        <w:t>Paterniani, G., Sgreccia, D., Davoli, A., Guerzoni, G., Di Viesti, P., Valenti, A. C., Vitolo, M., Vitetta, G. M., &amp; Boriani, G. (2023). Radar-based monitoring of vital signs: A tutorial overview. </w:t>
      </w:r>
      <w:r>
        <w:rPr>
          <w:i/>
          <w:iCs/>
        </w:rPr>
        <w:t>Proceedings of the IEEE, 111</w:t>
      </w:r>
      <w:r>
        <w:t>(3), 277–317. </w:t>
      </w:r>
      <w:r>
        <w:fldChar w:fldCharType="begin"/>
      </w:r>
      <w:r>
        <w:instrText xml:space="preserve"> HYPERLINK "https://doi.org/10.1109/JPROC.2023.3244362" </w:instrText>
      </w:r>
      <w:r>
        <w:fldChar w:fldCharType="separate"/>
      </w:r>
      <w:r>
        <w:rPr>
          <w:rStyle w:val="25"/>
        </w:rPr>
        <w:t>https://doi.org/10.1109/JPROC.2023.3244362</w:t>
      </w:r>
      <w:r>
        <w:rPr>
          <w:rStyle w:val="25"/>
        </w:rPr>
        <w:fldChar w:fldCharType="end"/>
      </w:r>
    </w:p>
    <w:p w14:paraId="47D10F73">
      <w:pPr>
        <w:ind w:left="420" w:hanging="420" w:hangingChars="200"/>
        <w:jc w:val="left"/>
      </w:pPr>
      <w:r>
        <w:t>Wang, F., Zeng, X., Wu, C., Wang, B., &amp; Liu, K. J. R. (2021). mmHRV: Contactless heart rate variability monitoring using millimeter-wave radio. </w:t>
      </w:r>
      <w:r>
        <w:rPr>
          <w:i/>
          <w:iCs/>
        </w:rPr>
        <w:t>IEEE Internet of Things Journal, 8</w:t>
      </w:r>
      <w:r>
        <w:t>(22), 16623–16636. </w:t>
      </w:r>
      <w:r>
        <w:fldChar w:fldCharType="begin"/>
      </w:r>
      <w:r>
        <w:instrText xml:space="preserve"> HYPERLINK "https://doi.org/10.1109/JIOT.2021.3075167" </w:instrText>
      </w:r>
      <w:r>
        <w:fldChar w:fldCharType="separate"/>
      </w:r>
      <w:r>
        <w:rPr>
          <w:rStyle w:val="25"/>
        </w:rPr>
        <w:t>https://doi.org/10.1109/JIOT.2021.3075167</w:t>
      </w:r>
      <w:r>
        <w:rPr>
          <w:rStyle w:val="25"/>
        </w:rPr>
        <w:fldChar w:fldCharType="end"/>
      </w:r>
    </w:p>
    <w:p w14:paraId="3A4A9A13">
      <w:pPr>
        <w:ind w:left="420" w:hanging="420" w:hangingChars="200"/>
        <w:jc w:val="left"/>
      </w:pPr>
      <w:r>
        <w:t>Younas, M., Zhang, J., Niaz, F., &amp; Xu, X. (2026). A novel contactless human attention and task focus estimation during tabletop object interactions using millimeter-wave radar. </w:t>
      </w:r>
      <w:r>
        <w:rPr>
          <w:i/>
          <w:iCs/>
        </w:rPr>
        <w:t>IEEE Internet of Things Journal, 13</w:t>
      </w:r>
      <w:r>
        <w:t>(11), 23400–23418. </w:t>
      </w:r>
      <w:r>
        <w:fldChar w:fldCharType="begin"/>
      </w:r>
      <w:r>
        <w:instrText xml:space="preserve"> HYPERLINK "https://doi.org/10.1109/JIOT.2026.3670444" </w:instrText>
      </w:r>
      <w:r>
        <w:fldChar w:fldCharType="separate"/>
      </w:r>
      <w:r>
        <w:rPr>
          <w:rStyle w:val="25"/>
        </w:rPr>
        <w:t>https://doi.org/10.1109/JIOT.2026.3670444</w:t>
      </w:r>
      <w:r>
        <w:rPr>
          <w:rStyle w:val="25"/>
        </w:rPr>
        <w:fldChar w:fldCharType="end"/>
      </w:r>
    </w:p>
    <w:p w14:paraId="5B05A8F0">
      <w:pPr>
        <w:ind w:left="420" w:hanging="420" w:hangingChars="200"/>
        <w:jc w:val="left"/>
      </w:pPr>
      <w:r>
        <w:t>Zhu, J., Cao, J., Yang, Y., Ren, W., &amp; Han, H. (2023). mmDrive: Fine-grained fatigue driving detection using mmWave radar. </w:t>
      </w:r>
      <w:r>
        <w:rPr>
          <w:i/>
          <w:iCs/>
        </w:rPr>
        <w:t>ACM Transactions on Internet of Things, 4</w:t>
      </w:r>
      <w:r>
        <w:t>(4), Article 26, 1–30. </w:t>
      </w:r>
      <w:r>
        <w:fldChar w:fldCharType="begin"/>
      </w:r>
      <w:r>
        <w:instrText xml:space="preserve"> HYPERLINK "https://doi.org/10.1145/3614437" </w:instrText>
      </w:r>
      <w:r>
        <w:fldChar w:fldCharType="separate"/>
      </w:r>
      <w:r>
        <w:rPr>
          <w:rStyle w:val="25"/>
        </w:rPr>
        <w:t>https://doi.org/10.1145/3614437</w:t>
      </w:r>
      <w:r>
        <w:rPr>
          <w:rStyle w:val="25"/>
        </w:rPr>
        <w:fldChar w:fldCharType="end"/>
      </w:r>
    </w:p>
    <w:p w14:paraId="1F07FDF7">
      <w:pPr>
        <w:ind w:left="420" w:hanging="420" w:hangingChars="200"/>
        <w:jc w:val="left"/>
      </w:pPr>
    </w:p>
    <w:sectPr>
      <w:headerReference r:id="rId9" w:type="first"/>
      <w:footerReference r:id="rId12" w:type="first"/>
      <w:headerReference r:id="rId7" w:type="default"/>
      <w:footerReference r:id="rId10" w:type="default"/>
      <w:headerReference r:id="rId8" w:type="even"/>
      <w:footerReference r:id="rId11" w:type="even"/>
      <w:pgSz w:w="11906" w:h="16838"/>
      <w:pgMar w:top="1440" w:right="1800" w:bottom="1440" w:left="1800" w:header="708" w:footer="708" w:gutter="0"/>
      <w:cols w:space="708" w:num="1"/>
      <w:docGrid w:type="lines"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Cyan Watts" w:date="2026-08-30T07:30:00Z" w:initials="CW">
    <w:p w14:paraId="18ED4E1F">
      <w:pPr>
        <w:pStyle w:val="13"/>
        <w:ind w:firstLine="420"/>
      </w:pPr>
      <w:r>
        <w:rPr>
          <w:rFonts w:hint="eastAsia"/>
        </w:rPr>
        <w:t>这个需要把所有水果都列出来吗（）</w:t>
      </w:r>
    </w:p>
  </w:comment>
  <w:comment w:id="1" w:author="黄小轩" w:date="2026-08-30T14:46:00Z" w:initials="">
    <w:p w14:paraId="3A376957">
      <w:pPr>
        <w:pStyle w:val="13"/>
        <w:ind w:firstLine="420"/>
      </w:pPr>
      <w:r>
        <w:rPr>
          <w:rFonts w:hint="eastAsia"/>
        </w:rPr>
        <w:t>感觉无，可以放图</w:t>
      </w:r>
    </w:p>
    <w:p w14:paraId="2378D5D8">
      <w:pPr>
        <w:pStyle w:val="13"/>
        <w:ind w:firstLine="420"/>
      </w:pPr>
      <w:r>
        <w:rPr>
          <w:rFonts w:hint="eastAsia"/>
        </w:rPr>
        <w:t>就是之前的那个拼一起的</w:t>
      </w:r>
    </w:p>
  </w:comment>
  <w:comment w:id="2" w:author="Cyan Watts" w:date="2026-08-30T07:29:00Z" w:initials="CW">
    <w:p w14:paraId="49E10F62">
      <w:pPr>
        <w:pStyle w:val="13"/>
        <w:ind w:firstLine="420"/>
        <w:rPr>
          <w:lang w:eastAsia="zh"/>
        </w:rPr>
      </w:pPr>
      <w:r>
        <w:rPr>
          <w:rFonts w:hint="eastAsia" w:cs="Times New Roman"/>
          <w:lang w:eastAsia="zh" w:bidi="ar"/>
        </w:rPr>
        <w:t>当时分析的时候实验还没做完，忘记补了，应该是11人</w:t>
      </w:r>
    </w:p>
  </w:comment>
  <w:comment w:id="3" w:author="Cyan Watts" w:date="2026-08-30T07:30:00Z" w:initials="CW">
    <w:p w14:paraId="08759F29">
      <w:pPr>
        <w:pStyle w:val="13"/>
        <w:ind w:firstLine="199" w:firstLineChars="95"/>
      </w:pPr>
      <w:r>
        <w:rPr>
          <w:rFonts w:hint="eastAsia"/>
        </w:rPr>
        <w:t>太笼统了，要展开说明？</w:t>
      </w:r>
    </w:p>
  </w:comment>
  <w:comment w:id="4" w:author="黄小轩" w:date="2026-08-30T14:48:00Z" w:initials="">
    <w:p w14:paraId="24644828">
      <w:pPr>
        <w:pStyle w:val="13"/>
        <w:ind w:firstLine="420"/>
      </w:pPr>
      <w:r>
        <w:rPr>
          <w:rFonts w:hint="eastAsia"/>
        </w:rPr>
        <w:t>下面就是吧，这是个总句</w:t>
      </w:r>
    </w:p>
  </w:comment>
  <w:comment w:id="5" w:author="黄小轩" w:date="2026-08-30T14:50:00Z" w:initials="">
    <w:p w14:paraId="0786176C">
      <w:pPr>
        <w:pStyle w:val="13"/>
        <w:ind w:firstLine="420"/>
      </w:pPr>
      <w:r>
        <w:rPr>
          <w:rFonts w:hint="eastAsia"/>
        </w:rPr>
        <w:t>加的</w:t>
      </w:r>
    </w:p>
  </w:comment>
  <w:comment w:id="6" w:author="黄小轩" w:date="2026-08-30T14:49:00Z" w:initials="">
    <w:p w14:paraId="47E3F875">
      <w:pPr>
        <w:pStyle w:val="13"/>
        <w:ind w:firstLine="420"/>
      </w:pPr>
      <w:r>
        <w:rPr>
          <w:rFonts w:hint="eastAsia"/>
        </w:rPr>
        <w:t>就是这一句，再加一句频率调整的原因吧</w:t>
      </w:r>
    </w:p>
  </w:comment>
  <w:comment w:id="7" w:author="Cyan Watts" w:date="2026-08-30T08:23:00Z" w:initials="CW">
    <w:p w14:paraId="2BDC7A58">
      <w:pPr>
        <w:pStyle w:val="13"/>
        <w:ind w:firstLine="199" w:firstLineChars="95"/>
      </w:pPr>
      <w:r>
        <w:rPr>
          <w:rFonts w:hint="eastAsia"/>
        </w:rPr>
        <w:t>预实验阶段二的好像也没完整分析，哎哟</w:t>
      </w:r>
    </w:p>
  </w:comment>
  <w:comment w:id="8" w:author="Cyan Watts" w:date="2026-08-30T07:29:00Z" w:initials="CW">
    <w:p w14:paraId="4BCF3D24">
      <w:pPr>
        <w:pStyle w:val="13"/>
        <w:ind w:firstLine="420"/>
      </w:pPr>
      <w:r>
        <w:rPr>
          <w:rFonts w:hint="eastAsia"/>
        </w:rPr>
        <w:t>111</w:t>
      </w:r>
    </w:p>
    <w:p w14:paraId="4D823345">
      <w:pPr>
        <w:pStyle w:val="13"/>
        <w:ind w:firstLine="199" w:firstLineChars="95"/>
      </w:pPr>
    </w:p>
  </w:comment>
  <w:comment w:id="9" w:author="Cyan Watts" w:date="2026-08-30T07:29:00Z" w:initials="CW">
    <w:p w14:paraId="14DE4C57">
      <w:pPr>
        <w:pStyle w:val="13"/>
        <w:ind w:firstLine="420"/>
      </w:pPr>
      <w:r>
        <w:rPr>
          <w:rFonts w:hint="eastAsia"/>
        </w:rPr>
        <w:t>111</w:t>
      </w:r>
    </w:p>
  </w:comment>
  <w:comment w:id="10" w:author="Cyan Watts" w:date="2026-08-31T03:00:00Z" w:initials="CW">
    <w:p w14:paraId="7830A8DB">
      <w:pPr>
        <w:pStyle w:val="13"/>
        <w:ind w:firstLine="420"/>
        <w:rPr>
          <w:rFonts w:hint="eastAsia"/>
        </w:rPr>
      </w:pPr>
      <w:r>
        <w:t>…</w:t>
      </w:r>
    </w:p>
  </w:comment>
  <w:comment w:id="11" w:author="Cyan Watts" w:date="2026-08-31T03:00:00Z" w:initials="CW">
    <w:p w14:paraId="1578671A">
      <w:pPr>
        <w:pStyle w:val="13"/>
        <w:ind w:firstLine="420"/>
        <w:rPr>
          <w:rFonts w:hint="eastAsia"/>
        </w:rPr>
      </w:pPr>
      <w:r>
        <w:t>…</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8ED4E1F" w15:done="0"/>
  <w15:commentEx w15:paraId="2378D5D8" w15:done="0" w15:paraIdParent="18ED4E1F"/>
  <w15:commentEx w15:paraId="49E10F62" w15:done="0"/>
  <w15:commentEx w15:paraId="08759F29" w15:done="0"/>
  <w15:commentEx w15:paraId="24644828" w15:done="0" w15:paraIdParent="08759F29"/>
  <w15:commentEx w15:paraId="0786176C" w15:done="0"/>
  <w15:commentEx w15:paraId="47E3F875" w15:done="0"/>
  <w15:commentEx w15:paraId="2BDC7A58" w15:done="0"/>
  <w15:commentEx w15:paraId="4D823345" w15:done="0"/>
  <w15:commentEx w15:paraId="14DE4C57" w15:done="0"/>
  <w15:commentEx w15:paraId="7830A8DB" w15:done="0"/>
  <w15:commentEx w15:paraId="1578671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Aptos Display">
    <w:altName w:val="Segoe UI Variable Display"/>
    <w:panose1 w:val="00000000000000000000"/>
    <w:charset w:val="00"/>
    <w:family w:val="swiss"/>
    <w:pitch w:val="default"/>
    <w:sig w:usb0="00000000" w:usb1="00000000" w:usb2="00000000" w:usb3="00000000" w:csb0="0000019F" w:csb1="00000000"/>
  </w:font>
  <w:font w:name="Courier New">
    <w:panose1 w:val="02070309020205020404"/>
    <w:charset w:val="00"/>
    <w:family w:val="modern"/>
    <w:pitch w:val="default"/>
    <w:sig w:usb0="E0002EFF" w:usb1="C0007843" w:usb2="00000009" w:usb3="00000000" w:csb0="400001FF" w:csb1="FFFF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5A15E">
    <w:pPr>
      <w:pStyle w:val="1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2931F">
    <w:pPr>
      <w:pStyle w:val="1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7A75D">
    <w:pPr>
      <w:pStyle w:val="15"/>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06B4C3">
    <w:pPr>
      <w:pStyle w:val="16"/>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C1A79B">
    <w:pPr>
      <w:pStyle w:val="16"/>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331FFE">
    <w:pPr>
      <w:pStyle w:val="16"/>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515E96"/>
    <w:multiLevelType w:val="multilevel"/>
    <w:tmpl w:val="58515E9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yan Watts">
    <w15:presenceInfo w15:providerId="Windows Live" w15:userId="36901dcc31f4ee37"/>
  </w15:person>
  <w15:person w15:author="黄小轩">
    <w15:presenceInfo w15:providerId="None" w15:userId="黄小轩"/>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72D2"/>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0271CE2"/>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00" w:firstLineChars="200"/>
      <w:jc w:val="both"/>
    </w:pPr>
    <w:rPr>
      <w:rFonts w:ascii="Times New Roman" w:hAnsi="Times New Roman" w:eastAsia="宋体" w:cstheme="minorBidi"/>
      <w:kern w:val="2"/>
      <w:sz w:val="21"/>
      <w:szCs w:val="22"/>
      <w:lang w:val="en-US" w:eastAsia="zh-CN" w:bidi="ar-SA"/>
      <w14:ligatures w14:val="standardContextual"/>
    </w:rPr>
  </w:style>
  <w:style w:type="paragraph" w:styleId="2">
    <w:name w:val="heading 1"/>
    <w:link w:val="29"/>
    <w:qFormat/>
    <w:uiPriority w:val="9"/>
    <w:pPr>
      <w:keepNext/>
      <w:keepLines/>
      <w:spacing w:line="360" w:lineRule="auto"/>
      <w:ind w:firstLine="200" w:firstLineChars="200"/>
      <w:jc w:val="center"/>
      <w:outlineLvl w:val="0"/>
    </w:pPr>
    <w:rPr>
      <w:rFonts w:asciiTheme="minorHAnsi" w:hAnsiTheme="minorHAnsi" w:eastAsiaTheme="minorEastAsia" w:cstheme="minorBidi"/>
      <w:b/>
      <w:sz w:val="32"/>
      <w:szCs w:val="48"/>
      <w:lang w:val="en-US" w:eastAsia="en-US" w:bidi="ar-SA"/>
    </w:rPr>
  </w:style>
  <w:style w:type="paragraph" w:styleId="3">
    <w:name w:val="heading 2"/>
    <w:link w:val="30"/>
    <w:unhideWhenUsed/>
    <w:qFormat/>
    <w:uiPriority w:val="9"/>
    <w:pPr>
      <w:keepNext/>
      <w:keepLines/>
      <w:spacing w:line="360" w:lineRule="auto"/>
      <w:jc w:val="both"/>
      <w:outlineLvl w:val="1"/>
    </w:pPr>
    <w:rPr>
      <w:rFonts w:ascii="Times New Roman" w:hAnsi="Times New Roman" w:eastAsia="宋体" w:cstheme="minorBidi"/>
      <w:b/>
      <w:sz w:val="24"/>
      <w:szCs w:val="36"/>
      <w:lang w:val="en-US" w:eastAsia="en-US" w:bidi="ar-SA"/>
    </w:rPr>
  </w:style>
  <w:style w:type="paragraph" w:styleId="4">
    <w:name w:val="heading 3"/>
    <w:link w:val="31"/>
    <w:autoRedefine/>
    <w:unhideWhenUsed/>
    <w:qFormat/>
    <w:uiPriority w:val="9"/>
    <w:pPr>
      <w:keepNext/>
      <w:keepLines/>
      <w:spacing w:line="360" w:lineRule="auto"/>
      <w:jc w:val="both"/>
      <w:outlineLvl w:val="2"/>
    </w:pPr>
    <w:rPr>
      <w:rFonts w:ascii="Times New Roman" w:eastAsia="宋体" w:hAnsiTheme="minorHAnsi" w:cstheme="minorBidi"/>
      <w:b/>
      <w:sz w:val="24"/>
      <w:szCs w:val="28"/>
      <w:lang w:val="en-US" w:eastAsia="en-US" w:bidi="ar-SA"/>
    </w:rPr>
  </w:style>
  <w:style w:type="paragraph" w:styleId="5">
    <w:name w:val="heading 4"/>
    <w:basedOn w:val="1"/>
    <w:next w:val="1"/>
    <w:link w:val="36"/>
    <w:unhideWhenUsed/>
    <w:qFormat/>
    <w:uiPriority w:val="9"/>
    <w:pPr>
      <w:keepNext/>
      <w:keepLines/>
      <w:ind w:firstLine="0" w:firstLineChars="0"/>
      <w:outlineLvl w:val="3"/>
    </w:pPr>
    <w:rPr>
      <w:rFonts w:cstheme="majorBidi"/>
      <w:b/>
      <w:color w:val="000000" w:themeColor="text1"/>
      <w:sz w:val="24"/>
      <w:szCs w:val="28"/>
      <w14:textFill>
        <w14:solidFill>
          <w14:schemeClr w14:val="tx1"/>
        </w14:solidFill>
      </w14:textFill>
    </w:rPr>
  </w:style>
  <w:style w:type="paragraph" w:styleId="6">
    <w:name w:val="heading 5"/>
    <w:basedOn w:val="1"/>
    <w:next w:val="1"/>
    <w:link w:val="37"/>
    <w:semiHidden/>
    <w:unhideWhenUsed/>
    <w:qFormat/>
    <w:uiPriority w:val="9"/>
    <w:pPr>
      <w:keepNext/>
      <w:keepLines/>
      <w:spacing w:before="80" w:after="40"/>
      <w:outlineLvl w:val="4"/>
    </w:pPr>
    <w:rPr>
      <w:rFonts w:eastAsiaTheme="minorEastAsia" w:cstheme="majorBidi"/>
      <w:color w:val="104862"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eastAsiaTheme="minorEastAsia" w:cstheme="majorBidi"/>
      <w:b/>
      <w:bCs/>
      <w:color w:val="104862" w:themeColor="accent1" w:themeShade="BF"/>
    </w:rPr>
  </w:style>
  <w:style w:type="paragraph" w:styleId="8">
    <w:name w:val="heading 7"/>
    <w:basedOn w:val="1"/>
    <w:next w:val="1"/>
    <w:link w:val="39"/>
    <w:semiHidden/>
    <w:unhideWhenUsed/>
    <w:qFormat/>
    <w:uiPriority w:val="9"/>
    <w:pPr>
      <w:keepNext/>
      <w:keepLines/>
      <w:spacing w:before="40"/>
      <w:outlineLvl w:val="6"/>
    </w:pPr>
    <w:rPr>
      <w:rFonts w:eastAsiaTheme="minorEastAsia"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0"/>
    <w:semiHidden/>
    <w:unhideWhenUsed/>
    <w:qFormat/>
    <w:uiPriority w:val="9"/>
    <w:pPr>
      <w:keepNext/>
      <w:keepLines/>
      <w:outlineLvl w:val="7"/>
    </w:pPr>
    <w:rPr>
      <w:rFonts w:eastAsiaTheme="minorEastAsia"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1"/>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3">
    <w:name w:val="Default Paragraph Font"/>
    <w:unhideWhenUsed/>
    <w:uiPriority w:val="1"/>
  </w:style>
  <w:style w:type="table" w:default="1" w:styleId="22">
    <w:name w:val="Normal Table"/>
    <w:semiHidden/>
    <w:unhideWhenUsed/>
    <w:uiPriority w:val="99"/>
    <w:tblPr>
      <w:tblCellMar>
        <w:top w:w="0" w:type="dxa"/>
        <w:left w:w="108" w:type="dxa"/>
        <w:bottom w:w="0" w:type="dxa"/>
        <w:right w:w="108" w:type="dxa"/>
      </w:tblCellMar>
    </w:tblPr>
  </w:style>
  <w:style w:type="paragraph" w:styleId="11">
    <w:name w:val="caption"/>
    <w:next w:val="12"/>
    <w:unhideWhenUsed/>
    <w:qFormat/>
    <w:uiPriority w:val="35"/>
    <w:pPr>
      <w:spacing w:after="120"/>
      <w:jc w:val="center"/>
    </w:pPr>
    <w:rPr>
      <w:rFonts w:ascii="Times New Roman" w:hAnsi="Times New Roman" w:eastAsia="宋体" w:cstheme="majorBidi"/>
      <w:b/>
      <w:sz w:val="18"/>
      <w:lang w:val="en-US" w:eastAsia="en-US" w:bidi="ar-SA"/>
    </w:rPr>
  </w:style>
  <w:style w:type="paragraph" w:styleId="12">
    <w:name w:val="No Spacing"/>
    <w:qFormat/>
    <w:uiPriority w:val="1"/>
    <w:pPr>
      <w:widowControl w:val="0"/>
      <w:ind w:firstLine="200" w:firstLineChars="200"/>
      <w:jc w:val="both"/>
    </w:pPr>
    <w:rPr>
      <w:rFonts w:asciiTheme="minorHAnsi" w:hAnsiTheme="minorHAnsi" w:eastAsiaTheme="minorEastAsia" w:cstheme="minorBidi"/>
      <w:sz w:val="21"/>
      <w:szCs w:val="22"/>
      <w:lang w:val="en-US" w:eastAsia="en-US" w:bidi="ar-SA"/>
    </w:rPr>
  </w:style>
  <w:style w:type="paragraph" w:styleId="13">
    <w:name w:val="annotation text"/>
    <w:basedOn w:val="1"/>
    <w:link w:val="56"/>
    <w:semiHidden/>
    <w:unhideWhenUsed/>
    <w:qFormat/>
    <w:uiPriority w:val="99"/>
    <w:pPr>
      <w:jc w:val="left"/>
    </w:pPr>
  </w:style>
  <w:style w:type="paragraph" w:styleId="14">
    <w:name w:val="Date"/>
    <w:basedOn w:val="1"/>
    <w:next w:val="1"/>
    <w:link w:val="52"/>
    <w:semiHidden/>
    <w:unhideWhenUsed/>
    <w:qFormat/>
    <w:uiPriority w:val="99"/>
    <w:pPr>
      <w:ind w:left="100" w:leftChars="2500"/>
    </w:pPr>
  </w:style>
  <w:style w:type="paragraph" w:styleId="15">
    <w:name w:val="footer"/>
    <w:basedOn w:val="1"/>
    <w:link w:val="51"/>
    <w:unhideWhenUsed/>
    <w:qFormat/>
    <w:uiPriority w:val="99"/>
    <w:pPr>
      <w:tabs>
        <w:tab w:val="center" w:pos="4153"/>
        <w:tab w:val="right" w:pos="8306"/>
      </w:tabs>
      <w:snapToGrid w:val="0"/>
    </w:pPr>
    <w:rPr>
      <w:sz w:val="18"/>
      <w:szCs w:val="18"/>
    </w:rPr>
  </w:style>
  <w:style w:type="paragraph" w:styleId="16">
    <w:name w:val="header"/>
    <w:basedOn w:val="1"/>
    <w:link w:val="50"/>
    <w:unhideWhenUsed/>
    <w:qFormat/>
    <w:uiPriority w:val="99"/>
    <w:pPr>
      <w:tabs>
        <w:tab w:val="center" w:pos="4153"/>
        <w:tab w:val="right" w:pos="8306"/>
      </w:tabs>
      <w:snapToGrid w:val="0"/>
      <w:jc w:val="center"/>
    </w:pPr>
    <w:rPr>
      <w:sz w:val="18"/>
      <w:szCs w:val="18"/>
    </w:rPr>
  </w:style>
  <w:style w:type="paragraph" w:styleId="17">
    <w:name w:val="Subtitle"/>
    <w:basedOn w:val="1"/>
    <w:next w:val="1"/>
    <w:link w:val="42"/>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HTML Preformatted"/>
    <w:basedOn w:val="1"/>
    <w:link w:val="54"/>
    <w:semiHidden/>
    <w:unhideWhenUsed/>
    <w:qFormat/>
    <w:uiPriority w:val="99"/>
    <w:rPr>
      <w:rFonts w:ascii="Courier New" w:hAnsi="Courier New" w:cs="Courier New"/>
      <w:sz w:val="20"/>
      <w:szCs w:val="20"/>
    </w:rPr>
  </w:style>
  <w:style w:type="paragraph" w:styleId="19">
    <w:name w:val="Normal (Web)"/>
    <w:basedOn w:val="1"/>
    <w:semiHidden/>
    <w:unhideWhenUsed/>
    <w:qFormat/>
    <w:uiPriority w:val="99"/>
    <w:pPr>
      <w:spacing w:beforeAutospacing="1" w:afterAutospacing="1"/>
      <w:jc w:val="left"/>
    </w:pPr>
    <w:rPr>
      <w:rFonts w:cs="Times New Roman"/>
      <w:kern w:val="0"/>
      <w:sz w:val="24"/>
    </w:rPr>
  </w:style>
  <w:style w:type="paragraph" w:styleId="20">
    <w:name w:val="Title"/>
    <w:basedOn w:val="1"/>
    <w:next w:val="1"/>
    <w:link w:val="34"/>
    <w:qFormat/>
    <w:uiPriority w:val="10"/>
    <w:pPr>
      <w:widowControl w:val="0"/>
      <w:jc w:val="center"/>
      <w:outlineLvl w:val="0"/>
    </w:pPr>
    <w:rPr>
      <w:rFonts w:asciiTheme="majorHAnsi" w:hAnsiTheme="majorHAnsi" w:cstheme="majorBidi"/>
      <w:b/>
      <w:bCs/>
      <w:sz w:val="32"/>
      <w:szCs w:val="32"/>
    </w:rPr>
  </w:style>
  <w:style w:type="paragraph" w:styleId="21">
    <w:name w:val="annotation subject"/>
    <w:basedOn w:val="13"/>
    <w:next w:val="13"/>
    <w:link w:val="57"/>
    <w:semiHidden/>
    <w:unhideWhenUsed/>
    <w:qFormat/>
    <w:uiPriority w:val="99"/>
    <w:rPr>
      <w:b/>
      <w:bCs/>
    </w:rPr>
  </w:style>
  <w:style w:type="character" w:styleId="24">
    <w:name w:val="Strong"/>
    <w:basedOn w:val="23"/>
    <w:qFormat/>
    <w:uiPriority w:val="22"/>
    <w:rPr>
      <w:b/>
    </w:rPr>
  </w:style>
  <w:style w:type="character" w:styleId="25">
    <w:name w:val="Hyperlink"/>
    <w:basedOn w:val="23"/>
    <w:unhideWhenUsed/>
    <w:qFormat/>
    <w:uiPriority w:val="99"/>
    <w:rPr>
      <w:color w:val="0000FF"/>
      <w:u w:val="single"/>
    </w:rPr>
  </w:style>
  <w:style w:type="character" w:styleId="26">
    <w:name w:val="HTML Code"/>
    <w:basedOn w:val="23"/>
    <w:semiHidden/>
    <w:unhideWhenUsed/>
    <w:qFormat/>
    <w:uiPriority w:val="99"/>
    <w:rPr>
      <w:rFonts w:ascii="Courier New" w:hAnsi="Courier New"/>
      <w:sz w:val="20"/>
    </w:rPr>
  </w:style>
  <w:style w:type="character" w:styleId="27">
    <w:name w:val="annotation reference"/>
    <w:basedOn w:val="23"/>
    <w:semiHidden/>
    <w:unhideWhenUsed/>
    <w:qFormat/>
    <w:uiPriority w:val="99"/>
    <w:rPr>
      <w:sz w:val="21"/>
      <w:szCs w:val="21"/>
    </w:rPr>
  </w:style>
  <w:style w:type="table" w:customStyle="1" w:styleId="28">
    <w:name w:val="三线表"/>
    <w:basedOn w:val="22"/>
    <w:qFormat/>
    <w:uiPriority w:val="99"/>
    <w:rPr>
      <w:sz w:val="18"/>
      <w:lang w:eastAsia="en-US"/>
    </w:rPr>
    <w:tblPr>
      <w:jc w:val="center"/>
      <w:tblBorders>
        <w:top w:val="single" w:color="auto" w:sz="12" w:space="0"/>
        <w:bottom w:val="single" w:color="auto" w:sz="12" w:space="0"/>
      </w:tblBorders>
    </w:tblPr>
    <w:trPr>
      <w:jc w:val="center"/>
    </w:trPr>
    <w:tcPr>
      <w:vAlign w:val="center"/>
    </w:tcPr>
    <w:tblStylePr w:type="firstRow">
      <w:tcPr>
        <w:tcBorders>
          <w:top w:val="single" w:color="auto" w:sz="12" w:space="0"/>
          <w:left w:val="nil"/>
          <w:bottom w:val="single" w:color="auto" w:sz="4" w:space="0"/>
          <w:right w:val="nil"/>
          <w:insideH w:val="nil"/>
          <w:insideV w:val="nil"/>
        </w:tcBorders>
      </w:tcPr>
    </w:tblStylePr>
  </w:style>
  <w:style w:type="character" w:customStyle="1" w:styleId="29">
    <w:name w:val="标题 1 字符"/>
    <w:basedOn w:val="23"/>
    <w:link w:val="2"/>
    <w:qFormat/>
    <w:uiPriority w:val="9"/>
    <w:rPr>
      <w:rFonts w:hAnsiTheme="minorHAnsi" w:eastAsiaTheme="minorEastAsia" w:cstheme="minorBidi"/>
      <w:b/>
      <w:kern w:val="0"/>
      <w:sz w:val="32"/>
      <w:szCs w:val="48"/>
      <w:lang w:eastAsia="en-US"/>
      <w14:ligatures w14:val="none"/>
    </w:rPr>
  </w:style>
  <w:style w:type="character" w:customStyle="1" w:styleId="30">
    <w:name w:val="标题 2 字符"/>
    <w:basedOn w:val="23"/>
    <w:link w:val="3"/>
    <w:qFormat/>
    <w:uiPriority w:val="9"/>
    <w:rPr>
      <w:rFonts w:ascii="Times New Roman" w:hAnsi="Times New Roman" w:eastAsia="宋体"/>
      <w:b/>
      <w:kern w:val="0"/>
      <w:sz w:val="24"/>
      <w:szCs w:val="36"/>
      <w:lang w:eastAsia="en-US"/>
      <w14:ligatures w14:val="none"/>
    </w:rPr>
  </w:style>
  <w:style w:type="character" w:customStyle="1" w:styleId="31">
    <w:name w:val="标题 3 字符"/>
    <w:basedOn w:val="23"/>
    <w:link w:val="4"/>
    <w:qFormat/>
    <w:uiPriority w:val="9"/>
    <w:rPr>
      <w:rFonts w:ascii="Times New Roman" w:eastAsia="宋体"/>
      <w:b/>
      <w:kern w:val="0"/>
      <w:sz w:val="24"/>
      <w:szCs w:val="28"/>
      <w:lang w:eastAsia="en-US"/>
      <w14:ligatures w14:val="none"/>
    </w:rPr>
  </w:style>
  <w:style w:type="paragraph" w:customStyle="1" w:styleId="32">
    <w:name w:val="表格正文"/>
    <w:link w:val="33"/>
    <w:qFormat/>
    <w:uiPriority w:val="0"/>
    <w:pPr>
      <w:jc w:val="center"/>
    </w:pPr>
    <w:rPr>
      <w:rFonts w:ascii="Times New Roman" w:hAnsi="Times New Roman" w:eastAsia="宋体" w:cstheme="minorBidi"/>
      <w:kern w:val="2"/>
      <w:sz w:val="18"/>
      <w:szCs w:val="22"/>
      <w:lang w:val="en-US" w:eastAsia="zh-CN" w:bidi="ar-SA"/>
      <w14:ligatures w14:val="standardContextual"/>
    </w:rPr>
  </w:style>
  <w:style w:type="character" w:customStyle="1" w:styleId="33">
    <w:name w:val="表格正文 字符"/>
    <w:basedOn w:val="23"/>
    <w:link w:val="32"/>
    <w:qFormat/>
    <w:uiPriority w:val="0"/>
    <w:rPr>
      <w:rFonts w:cstheme="minorBidi"/>
      <w:kern w:val="2"/>
      <w:sz w:val="18"/>
      <w:szCs w:val="22"/>
      <w14:ligatures w14:val="standardContextual"/>
    </w:rPr>
  </w:style>
  <w:style w:type="character" w:customStyle="1" w:styleId="34">
    <w:name w:val="标题 字符"/>
    <w:basedOn w:val="23"/>
    <w:link w:val="20"/>
    <w:qFormat/>
    <w:uiPriority w:val="10"/>
    <w:rPr>
      <w:rFonts w:eastAsia="宋体" w:asciiTheme="majorHAnsi" w:hAnsiTheme="majorHAnsi" w:cstheme="majorBidi"/>
      <w:b/>
      <w:bCs/>
      <w:sz w:val="32"/>
      <w:szCs w:val="32"/>
    </w:rPr>
  </w:style>
  <w:style w:type="paragraph" w:customStyle="1" w:styleId="35">
    <w:name w:val="注释"/>
    <w:qFormat/>
    <w:uiPriority w:val="0"/>
    <w:pPr>
      <w:spacing w:line="360" w:lineRule="auto"/>
      <w:jc w:val="center"/>
    </w:pPr>
    <w:rPr>
      <w:rFonts w:ascii="Times New Roman" w:eastAsia="宋体" w:hAnsiTheme="minorHAnsi" w:cstheme="minorBidi"/>
      <w:i/>
      <w:sz w:val="18"/>
      <w:szCs w:val="28"/>
      <w:lang w:val="en-US" w:eastAsia="zh-CN" w:bidi="ar-SA"/>
    </w:rPr>
  </w:style>
  <w:style w:type="character" w:customStyle="1" w:styleId="36">
    <w:name w:val="标题 4 字符"/>
    <w:basedOn w:val="23"/>
    <w:link w:val="5"/>
    <w:qFormat/>
    <w:uiPriority w:val="9"/>
    <w:rPr>
      <w:rFonts w:ascii="Times New Roman" w:hAnsi="Times New Roman" w:eastAsia="宋体" w:cstheme="majorBidi"/>
      <w:b/>
      <w:color w:val="000000" w:themeColor="text1"/>
      <w:sz w:val="24"/>
      <w:szCs w:val="28"/>
      <w14:textFill>
        <w14:solidFill>
          <w14:schemeClr w14:val="tx1"/>
        </w14:solidFill>
      </w14:textFill>
    </w:rPr>
  </w:style>
  <w:style w:type="character" w:customStyle="1" w:styleId="37">
    <w:name w:val="标题 5 字符"/>
    <w:basedOn w:val="23"/>
    <w:link w:val="6"/>
    <w:semiHidden/>
    <w:qFormat/>
    <w:uiPriority w:val="9"/>
    <w:rPr>
      <w:rFonts w:cstheme="majorBidi"/>
      <w:color w:val="104862" w:themeColor="accent1" w:themeShade="BF"/>
      <w:sz w:val="24"/>
      <w:szCs w:val="24"/>
    </w:rPr>
  </w:style>
  <w:style w:type="character" w:customStyle="1" w:styleId="38">
    <w:name w:val="标题 6 字符"/>
    <w:basedOn w:val="23"/>
    <w:link w:val="7"/>
    <w:semiHidden/>
    <w:qFormat/>
    <w:uiPriority w:val="9"/>
    <w:rPr>
      <w:rFonts w:cstheme="majorBidi"/>
      <w:b/>
      <w:bCs/>
      <w:color w:val="104862" w:themeColor="accent1" w:themeShade="BF"/>
      <w:sz w:val="21"/>
    </w:rPr>
  </w:style>
  <w:style w:type="character" w:customStyle="1" w:styleId="39">
    <w:name w:val="标题 7 字符"/>
    <w:basedOn w:val="23"/>
    <w:link w:val="8"/>
    <w:semiHidden/>
    <w:qFormat/>
    <w:uiPriority w:val="9"/>
    <w:rPr>
      <w:rFonts w:cstheme="majorBidi"/>
      <w:b/>
      <w:bCs/>
      <w:color w:val="595959" w:themeColor="text1" w:themeTint="A6"/>
      <w:sz w:val="21"/>
      <w14:textFill>
        <w14:solidFill>
          <w14:schemeClr w14:val="tx1">
            <w14:lumMod w14:val="65000"/>
            <w14:lumOff w14:val="35000"/>
          </w14:schemeClr>
        </w14:solidFill>
      </w14:textFill>
    </w:rPr>
  </w:style>
  <w:style w:type="character" w:customStyle="1" w:styleId="40">
    <w:name w:val="标题 8 字符"/>
    <w:basedOn w:val="23"/>
    <w:link w:val="9"/>
    <w:semiHidden/>
    <w:qFormat/>
    <w:uiPriority w:val="9"/>
    <w:rPr>
      <w:rFonts w:cstheme="majorBidi"/>
      <w:color w:val="595959" w:themeColor="text1" w:themeTint="A6"/>
      <w:sz w:val="21"/>
      <w14:textFill>
        <w14:solidFill>
          <w14:schemeClr w14:val="tx1">
            <w14:lumMod w14:val="65000"/>
            <w14:lumOff w14:val="35000"/>
          </w14:schemeClr>
        </w14:solidFill>
      </w14:textFill>
    </w:rPr>
  </w:style>
  <w:style w:type="character" w:customStyle="1" w:styleId="41">
    <w:name w:val="标题 9 字符"/>
    <w:basedOn w:val="23"/>
    <w:link w:val="10"/>
    <w:semiHidden/>
    <w:qFormat/>
    <w:uiPriority w:val="9"/>
    <w:rPr>
      <w:rFonts w:eastAsiaTheme="majorEastAsia" w:cstheme="majorBidi"/>
      <w:color w:val="595959" w:themeColor="text1" w:themeTint="A6"/>
      <w:sz w:val="21"/>
      <w14:textFill>
        <w14:solidFill>
          <w14:schemeClr w14:val="tx1">
            <w14:lumMod w14:val="65000"/>
            <w14:lumOff w14:val="35000"/>
          </w14:schemeClr>
        </w14:solidFill>
      </w14:textFill>
    </w:rPr>
  </w:style>
  <w:style w:type="character" w:customStyle="1" w:styleId="42">
    <w:name w:val="副标题 字符"/>
    <w:basedOn w:val="23"/>
    <w:link w:val="17"/>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引用 字符"/>
    <w:basedOn w:val="23"/>
    <w:link w:val="43"/>
    <w:qFormat/>
    <w:uiPriority w:val="29"/>
    <w:rPr>
      <w:rFonts w:eastAsia="宋体"/>
      <w:i/>
      <w:iCs/>
      <w:color w:val="404040" w:themeColor="text1" w:themeTint="BF"/>
      <w:sz w:val="21"/>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明显强调1"/>
    <w:basedOn w:val="23"/>
    <w:qFormat/>
    <w:uiPriority w:val="21"/>
    <w:rPr>
      <w:i/>
      <w:iCs/>
      <w:color w:val="104862" w:themeColor="accent1" w:themeShade="BF"/>
    </w:rPr>
  </w:style>
  <w:style w:type="paragraph" w:styleId="47">
    <w:name w:val="Intense Quote"/>
    <w:basedOn w:val="1"/>
    <w:next w:val="1"/>
    <w:link w:val="4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8">
    <w:name w:val="明显引用 字符"/>
    <w:basedOn w:val="23"/>
    <w:link w:val="47"/>
    <w:uiPriority w:val="30"/>
    <w:rPr>
      <w:rFonts w:eastAsia="宋体"/>
      <w:i/>
      <w:iCs/>
      <w:color w:val="104862" w:themeColor="accent1" w:themeShade="BF"/>
      <w:sz w:val="21"/>
    </w:rPr>
  </w:style>
  <w:style w:type="character" w:customStyle="1" w:styleId="49">
    <w:name w:val="明显参考1"/>
    <w:basedOn w:val="23"/>
    <w:qFormat/>
    <w:uiPriority w:val="32"/>
    <w:rPr>
      <w:b/>
      <w:bCs/>
      <w:smallCaps/>
      <w:color w:val="104862" w:themeColor="accent1" w:themeShade="BF"/>
      <w:spacing w:val="5"/>
    </w:rPr>
  </w:style>
  <w:style w:type="character" w:customStyle="1" w:styleId="50">
    <w:name w:val="页眉 字符"/>
    <w:basedOn w:val="23"/>
    <w:link w:val="16"/>
    <w:uiPriority w:val="99"/>
    <w:rPr>
      <w:rFonts w:eastAsia="宋体"/>
      <w:sz w:val="18"/>
      <w:szCs w:val="18"/>
    </w:rPr>
  </w:style>
  <w:style w:type="character" w:customStyle="1" w:styleId="51">
    <w:name w:val="页脚 字符"/>
    <w:basedOn w:val="23"/>
    <w:link w:val="15"/>
    <w:uiPriority w:val="99"/>
    <w:rPr>
      <w:rFonts w:eastAsia="宋体"/>
      <w:sz w:val="18"/>
      <w:szCs w:val="18"/>
    </w:rPr>
  </w:style>
  <w:style w:type="character" w:customStyle="1" w:styleId="52">
    <w:name w:val="日期 字符"/>
    <w:basedOn w:val="23"/>
    <w:link w:val="14"/>
    <w:semiHidden/>
    <w:uiPriority w:val="99"/>
    <w:rPr>
      <w:rFonts w:ascii="Times New Roman" w:hAnsi="Times New Roman" w:eastAsia="宋体"/>
      <w:sz w:val="21"/>
    </w:rPr>
  </w:style>
  <w:style w:type="character" w:styleId="53">
    <w:name w:val="Placeholder Text"/>
    <w:basedOn w:val="23"/>
    <w:unhideWhenUsed/>
    <w:uiPriority w:val="99"/>
    <w:rPr>
      <w:color w:val="666666"/>
    </w:rPr>
  </w:style>
  <w:style w:type="character" w:customStyle="1" w:styleId="54">
    <w:name w:val="HTML 预设格式 字符"/>
    <w:basedOn w:val="23"/>
    <w:link w:val="18"/>
    <w:semiHidden/>
    <w:uiPriority w:val="99"/>
    <w:rPr>
      <w:rFonts w:ascii="Courier New" w:hAnsi="Courier New" w:cs="Courier New"/>
      <w:kern w:val="2"/>
      <w14:ligatures w14:val="standardContextual"/>
    </w:rPr>
  </w:style>
  <w:style w:type="character" w:customStyle="1" w:styleId="55">
    <w:name w:val="未处理的提及1"/>
    <w:basedOn w:val="23"/>
    <w:semiHidden/>
    <w:unhideWhenUsed/>
    <w:uiPriority w:val="99"/>
    <w:rPr>
      <w:color w:val="605E5C"/>
      <w:shd w:val="clear" w:color="auto" w:fill="E1DFDD"/>
    </w:rPr>
  </w:style>
  <w:style w:type="character" w:customStyle="1" w:styleId="56">
    <w:name w:val="批注文字 字符"/>
    <w:basedOn w:val="23"/>
    <w:link w:val="13"/>
    <w:semiHidden/>
    <w:uiPriority w:val="99"/>
    <w:rPr>
      <w:rFonts w:cstheme="minorBidi"/>
      <w:kern w:val="2"/>
      <w:sz w:val="21"/>
      <w:szCs w:val="22"/>
      <w14:ligatures w14:val="standardContextual"/>
    </w:rPr>
  </w:style>
  <w:style w:type="character" w:customStyle="1" w:styleId="57">
    <w:name w:val="批注主题 字符"/>
    <w:basedOn w:val="56"/>
    <w:link w:val="21"/>
    <w:semiHidden/>
    <w:uiPriority w:val="99"/>
    <w:rPr>
      <w:rFonts w:cstheme="minorBidi"/>
      <w:b/>
      <w:bCs/>
      <w:kern w:val="2"/>
      <w:sz w:val="21"/>
      <w:szCs w:val="22"/>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8" Type="http://schemas.microsoft.com/office/2011/relationships/people" Target="people.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comments" Target="comment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jpeg"/><Relationship Id="rId18" Type="http://schemas.openxmlformats.org/officeDocument/2006/relationships/image" Target="media/image5.jpe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3.xml"/><Relationship Id="rId11" Type="http://schemas.openxmlformats.org/officeDocument/2006/relationships/footer" Target="footer2.xml"/><Relationship Id="rId10" Type="http://schemas.openxmlformats.org/officeDocument/2006/relationships/footer" Target="footer1.xml"/><Relationship Id="rId1" Type="http://schemas.openxmlformats.org/officeDocument/2006/relationships/styles" Target="styles.xml"/><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 Id="rId45" Type="http://schemas.openxmlformats.org/officeDocument/2006/relationships/image" Target="media/image28.png"/><Relationship Id="rId46" Type="http://schemas.openxmlformats.org/officeDocument/2006/relationships/image" Target="media/image2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actReview xmlns="http://schemas.wps.cn/vas-ai-hub/contract-review">
  <reviewItems>
    <reviewItem>
      <errorID>1fc12437-5aa4-45c0-a1fe-43f2162a3bb7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460F8A4B</paraID>
      <start>0</start>
      <end>3</end>
      <status>ignored</status>
      <modifiedWord/>
      <trackRevisions>false</trackRevisions>
    </reviewItem>
    <reviewItem>
      <errorID>721254b5-2c3d-4bf1-949f-51e4d639adb9</errorID>
      <errorWord>高</errorWord>
      <group>L1_Word</group>
      <groupName>字词问题</groupName>
      <ability>L2_Typo</ability>
      <abilityName>字词错误</abilityName>
      <candidateList>
        <item>高的</item>
      </candidateList>
      <explain/>
      <paraID>  FD24E0</paraID>
      <start>166</start>
      <end>167</end>
      <status>ignored</status>
      <modifiedWord/>
      <trackRevisions>false</trackRevisions>
    </reviewItem>
    <reviewItem>
      <errorID>c6c67e72-98e4-4615-8e43-5d77b06d3af7</errorID>
      <errorWord>随</errorWord>
      <group>L1_Word</group>
      <groupName>字词问题</groupName>
      <ability>L2_Typo</ability>
      <abilityName>字词错误</abilityName>
      <candidateList>
        <item>随着</item>
      </candidateList>
      <explain/>
      <paraID>5D65BD32</paraID>
      <start>26</start>
      <end>28</end>
      <status>modified</status>
      <modifiedWord>随着</modifiedWord>
      <trackRevisions>false</trackRevisions>
    </reviewItem>
    <reviewItem>
      <errorID>d5184714-8ebf-4a17-bf52-8c31a7f1e653</errorID>
      <errorWord>受到</errorWord>
      <group>L1_Word</group>
      <groupName>字词问题</groupName>
      <ability>L2_Typo</ability>
      <abilityName>字词错误</abilityName>
      <candidateList>
        <item>受</item>
      </candidateList>
      <explain/>
      <paraID> 68423F2</paraID>
      <start>194</start>
      <end>195</end>
      <status>modified</status>
      <modifiedWord>受</modifiedWord>
      <trackRevisions>false</trackRevisions>
    </reviewItem>
    <reviewItem>
      <errorID>b3708110-38f4-4b4b-8ad0-dc962504e3c3</errorID>
      <errorWord>受到</errorWord>
      <group>L1_Word</group>
      <groupName>字词问题</groupName>
      <ability>L2_Typo</ability>
      <abilityName>字词错误</abilityName>
      <candidateList>
        <item>受</item>
      </candidateList>
      <explain/>
      <paraID>6A59C49E</paraID>
      <start>221</start>
      <end>222</end>
      <status>modified</status>
      <modifiedWord>受</modifiedWord>
      <trackRevisions>false</trackRevisions>
    </reviewItem>
    <reviewItem>
      <errorID>1412daf9-72dd-45fb-b8de-9a760175efca</errorID>
      <errorWord>加</errorWord>
      <group>L1_Word</group>
      <groupName>字词问题</groupName>
      <ability>L2_Typo</ability>
      <abilityName>字词错误</abilityName>
      <candidateList>
        <item>加了</item>
      </candidateList>
      <explain/>
      <paraID>33598B6B</paraID>
      <start>87</start>
      <end>89</end>
      <status>modified</status>
      <modifiedWord>加了</modifiedWord>
      <trackRevisions>false</trackRevisions>
    </reviewItem>
    <reviewItem>
      <errorID>fbec599c-b0f4-44c1-9248-8b2f64ebd62f</errorID>
      <errorWord>调整了</errorWord>
      <group>L1_Word</group>
      <groupName>字词问题</groupName>
      <ability>L2_Typo</ability>
      <abilityName>字词错误</abilityName>
      <candidateList>
        <item>调整</item>
      </candidateList>
      <explain/>
      <paraID>18C3437C</paraID>
      <start>114</start>
      <end>116</end>
      <status>modified</status>
      <modifiedWord>调整</modifiedWord>
      <trackRevisions>false</trackRevisions>
    </reviewItem>
    <reviewItem>
      <errorID>06430df5-c0f6-469d-b060-93161331941a</errorID>
      <errorWord>zwak</errorWord>
      <group>L1_English</group>
      <groupName>英文问题</groupName>
      <ability>L2_Case</ability>
      <abilityName>大小写问题</abilityName>
      <candidateList>
        <item>Zwak</item>
      </candidateList>
      <explain>疑似单词大小写错误，建议将zwak修改为Zwak</explain>
      <paraID>139B155E</paraID>
      <start>0</start>
      <end>4</end>
      <status>ignored</status>
      <modifiedWord/>
      <trackRevisions>false</trackRevisions>
    </reviewItem>
    <reviewItem>
      <errorID>c3bc1d39-287b-4dd3-b485-b71aac1afe94</errorID>
      <errorWord>检测论</errorWord>
      <group>L1_Word</group>
      <groupName>字词问题</groupName>
      <ability>L2_Typo</ability>
      <abilityName>字词错误</abilityName>
      <candidateList>
        <item>检测</item>
      </candidateList>
      <explain/>
      <paraID>2281A842</paraID>
      <start>161</start>
      <end>164</end>
      <status>ignored</status>
      <modifiedWord/>
      <trackRevisions>false</trackRevisions>
    </reviewItem>
    <reviewItem>
      <errorID>b1c212bf-bfb2-4558-932e-394585a35342</errorID>
      <errorWord>检测论</errorWord>
      <group>L1_Word</group>
      <groupName>字词问题</groupName>
      <ability>L2_Typo</ability>
      <abilityName>字词错误</abilityName>
      <candidateList>
        <item>检测</item>
      </candidateList>
      <explain/>
      <paraID> 1611844</paraID>
      <start>2</start>
      <end>5</end>
      <status>ignored</status>
      <modifiedWord/>
      <trackRevisions>false</trackRevisions>
    </reviewItem>
    <reviewItem>
      <errorID>db15aafd-c22f-40ff-b088-004e7281e643</errorID>
      <errorWord>试次</errorWord>
      <group>L1_Word</group>
      <groupName>字词问题</groupName>
      <ability>L2_Typo</ability>
      <abilityName>字词错误</abilityName>
      <candidateList>
        <item>试剂</item>
      </candidateList>
      <explain/>
      <paraID> 9DC49D1</paraID>
      <start>6</start>
      <end>8</end>
      <status>ignored</status>
      <modifiedWord/>
      <trackRevisions>false</trackRevisions>
    </reviewItem>
    <reviewItem>
      <errorID>786c1dbb-71fa-42b6-9928-2f024f9e95d1</errorID>
      <errorWord>窗中</errorWord>
      <group>L1_Word</group>
      <groupName>字词问题</groupName>
      <ability>L2_Typo</ability>
      <abilityName>字词错误</abilityName>
      <candidateList>
        <item>窗口</item>
      </candidateList>
      <explain/>
      <paraID>6DDCF133</paraID>
      <start>152</start>
      <end>154</end>
      <status>ignored</status>
      <modifiedWord/>
      <trackRevisions>false</trackRevisions>
    </reviewItem>
    <reviewItem>
      <errorID>76345cb8-179c-4228-a3ad-26ce040a27e4</errorID>
      <errorWord>才</errorWord>
      <group>L1_Word</group>
      <groupName>字词问题</groupName>
      <ability>L2_Typo</ability>
      <abilityName>字词错误</abilityName>
      <candidateList>
        <item>才能</item>
      </candidateList>
      <explain/>
      <paraID>6DE8827A</paraID>
      <start>101</start>
      <end>103</end>
      <status>modified</status>
      <modifiedWord>才能</modifiedWord>
      <trackRevisions>false</trackRevisions>
    </reviewItem>
    <reviewItem>
      <errorID>719f8efc-6437-43c3-a4e4-fc187184e20f</errorID>
      <errorWord>分箱</errorWord>
      <group>L1_Word</group>
      <groupName>字词问题</groupName>
      <ability>L2_Typo</ability>
      <abilityName>字词错误</abilityName>
      <candidateList>
        <item>分</item>
      </candidateList>
      <explain/>
      <paraID> 81C1950</paraID>
      <start>68</start>
      <end>70</end>
      <status>ignored</status>
      <modifiedWord/>
      <trackRevisions>false</trackRevisions>
    </reviewItem>
    <reviewItem>
      <errorID>2c190999-b548-44cc-bf42-59c04a319d89</errorID>
      <errorWord>项对</errorWord>
      <group>L1_Word</group>
      <groupName>字词问题</groupName>
      <ability>L2_Typo</ability>
      <abilityName>字词错误</abilityName>
      <candidateList>
        <item>相对</item>
      </candidateList>
      <explain/>
      <paraID>39184844</paraID>
      <start>98</start>
      <end>100</end>
      <status>ignored</status>
      <modifiedWord/>
      <trackRevisions>false</trackRevisions>
    </reviewItem>
    <reviewItem>
      <errorID>77f2f4aa-014d-466b-8fa4-b30156123988</errorID>
      <errorWord>两</errorWord>
      <group>L1_Word</group>
      <groupName>字词问题</groupName>
      <ability>L2_Typo</ability>
      <abilityName>字词错误</abilityName>
      <candidateList>
        <item>两个</item>
      </candidateList>
      <explain/>
      <paraID>3642C6FA</paraID>
      <start>172</start>
      <end>173</end>
      <status>ignored</status>
      <modifiedWord/>
      <trackRevisions>false</trackRevisions>
    </reviewItem>
    <reviewItem>
      <errorID>8ec5f755-0294-47cd-91ef-7294d176205e</errorID>
      <errorWord>全而</errorWord>
      <group>L1_Word</group>
      <groupName>字词问题</groupName>
      <ability>L2_Typo</ability>
      <abilityName>字词错误</abilityName>
      <candidateList>
        <item>全面</item>
      </candidateList>
      <explain/>
      <paraID>40E236B4</paraID>
      <start>86</start>
      <end>88</end>
      <status>ignored</status>
      <modifiedWord/>
      <trackRevisions>false</trackRevisions>
    </reviewItem>
    <reviewItem>
      <errorID>63d02f43-8997-4b7d-b7d4-d153d94861fa</errorID>
      <errorWord>"</errorWord>
      <group>L1_Format</group>
      <groupName>格式问题</groupName>
      <ability>L2_HalfPunc_CN</ability>
      <abilityName>全半角问题</abilityName>
      <candidateList>
        <item>“</item>
      </candidateList>
      <explain>文本全半角错误。</explain>
      <paraID>5C9691A0</paraID>
      <start>9</start>
      <end>10</end>
      <status>ignored</status>
      <modifiedWord/>
      <trackRevisions>false</trackRevisions>
    </reviewItem>
    <reviewItem>
      <errorID>776bd018-4ae3-42d0-ba11-dc63377dd699</errorID>
      <errorWord>"</errorWord>
      <group>L1_Format</group>
      <groupName>格式问题</groupName>
      <ability>L2_HalfPunc_CN</ability>
      <abilityName>全半角问题</abilityName>
      <candidateList>
        <item>”</item>
      </candidateList>
      <explain>文本全半角错误。</explain>
      <paraID>5C9691A0</paraID>
      <start>14</start>
      <end>15</end>
      <status>ignored</status>
      <modifiedWord/>
      <trackRevisions>false</trackRevisions>
    </reviewItem>
    <reviewItem>
      <errorID>e8dcd4cc-8e52-4c14-8752-27ef44a5c8ed</errorID>
      <errorWord>"</errorWord>
      <group>L1_Format</group>
      <groupName>格式问题</groupName>
      <ability>L2_HalfPunc_CN</ability>
      <abilityName>全半角问题</abilityName>
      <candidateList>
        <item>“</item>
      </candidateList>
      <explain>文本全半角错误。</explain>
      <paraID>5C9691A0</paraID>
      <start>180</start>
      <end>181</end>
      <status>ignored</status>
      <modifiedWord/>
      <trackRevisions>false</trackRevisions>
    </reviewItem>
    <reviewItem>
      <errorID>fc0c0630-34a1-4375-a511-2ca06b2d2763</errorID>
      <errorWord>"</errorWord>
      <group>L1_Format</group>
      <groupName>格式问题</groupName>
      <ability>L2_HalfPunc_CN</ability>
      <abilityName>全半角问题</abilityName>
      <candidateList>
        <item>”</item>
      </candidateList>
      <explain>文本全半角错误。</explain>
      <paraID>5C9691A0</paraID>
      <start>185</start>
      <end>186</end>
      <status>ignored</status>
      <modifiedWord/>
      <trackRevisions>false</trackRevisions>
    </reviewItem>
    <reviewItem>
      <errorID>3f3321bc-f21d-42f5-b709-9e5edf235f6e</errorID>
      <errorWord>-</errorWord>
      <group>L1_Format</group>
      <groupName>格式问题</groupName>
      <ability>L2_HalfPunc_CN</ability>
      <abilityName>全半角问题</abilityName>
      <candidateList>
        <item>－</item>
      </candidateList>
      <explain>文本全半角错误。</explain>
      <paraID>5C9691A0</paraID>
      <start>281</start>
      <end>282</end>
      <status>ignored</status>
      <modifiedWord/>
      <trackRevisions>false</trackRevisions>
    </reviewItem>
    <reviewItem>
      <errorID>0ea6eee6-457f-415c-81a7-4bbc1937cbf7</errorID>
      <errorWord>"</errorWord>
      <group>L1_Format</group>
      <groupName>格式问题</groupName>
      <ability>L2_HalfPunc_CN</ability>
      <abilityName>全半角问题</abilityName>
      <candidateList>
        <item>“</item>
      </candidateList>
      <explain>文本全半角错误。</explain>
      <paraID>4AB82B99</paraID>
      <start>38</start>
      <end>39</end>
      <status>ignored</status>
      <modifiedWord/>
      <trackRevisions>false</trackRevisions>
    </reviewItem>
    <reviewItem>
      <errorID>0695b63f-9a45-48c9-9a1b-3b8ad7ea80b1</errorID>
      <errorWord>"</errorWord>
      <group>L1_Format</group>
      <groupName>格式问题</groupName>
      <ability>L2_HalfPunc_CN</ability>
      <abilityName>全半角问题</abilityName>
      <candidateList>
        <item>”</item>
      </candidateList>
      <explain>文本全半角错误。</explain>
      <paraID>4AB82B99</paraID>
      <start>43</start>
      <end>44</end>
      <status>ignored</status>
      <modifiedWord/>
      <trackRevisions>false</trackRevisions>
    </reviewItem>
    <reviewItem>
      <errorID>3b47c320-d5a8-4bed-88c0-dfc143c340e5</errorID>
      <errorWord>"</errorWord>
      <group>L1_Format</group>
      <groupName>格式问题</groupName>
      <ability>L2_HalfPunc_CN</ability>
      <abilityName>全半角问题</abilityName>
      <candidateList>
        <item>“</item>
      </candidateList>
      <explain>文本全半角错误。</explain>
      <paraID>4AB82B99</paraID>
      <start>46</start>
      <end>47</end>
      <status>ignored</status>
      <modifiedWord/>
      <trackRevisions>false</trackRevisions>
    </reviewItem>
    <reviewItem>
      <errorID>14bf3f39-1d50-4245-bafd-b13913db8530</errorID>
      <errorWord>"</errorWord>
      <group>L1_Format</group>
      <groupName>格式问题</groupName>
      <ability>L2_HalfPunc_CN</ability>
      <abilityName>全半角问题</abilityName>
      <candidateList>
        <item>”</item>
      </candidateList>
      <explain>文本全半角错误。</explain>
      <paraID>4AB82B99</paraID>
      <start>51</start>
      <end>52</end>
      <status>ignored</status>
      <modifiedWord/>
      <trackRevisions>false</trackRevisions>
    </reviewItem>
    <reviewItem>
      <errorID>174a0412-9c79-4136-9969-0ee067d02b05</errorID>
      <errorWord>"</errorWord>
      <group>L1_Format</group>
      <groupName>格式问题</groupName>
      <ability>L2_HalfPunc_CN</ability>
      <abilityName>全半角问题</abilityName>
      <candidateList>
        <item>“</item>
      </candidateList>
      <explain>文本全半角错误。</explain>
      <paraID>293C184A</paraID>
      <start>196</start>
      <end>197</end>
      <status>ignored</status>
      <modifiedWord/>
      <trackRevisions>false</trackRevisions>
    </reviewItem>
    <reviewItem>
      <errorID>3654d693-0c57-435a-8870-fbf329b91c98</errorID>
      <errorWord>"</errorWord>
      <group>L1_Format</group>
      <groupName>格式问题</groupName>
      <ability>L2_HalfPunc_CN</ability>
      <abilityName>全半角问题</abilityName>
      <candidateList>
        <item>”</item>
      </candidateList>
      <explain>文本全半角错误。</explain>
      <paraID>293C184A</paraID>
      <start>205</start>
      <end>206</end>
      <status>ignored</status>
      <modifiedWord/>
      <trackRevisions>false</trackRevisions>
    </reviewItem>
    <reviewItem>
      <errorID>f58a49a1-8397-428a-b6e0-0a61989104a9</errorID>
      <errorWord>"</errorWord>
      <group>L1_Format</group>
      <groupName>格式问题</groupName>
      <ability>L2_HalfPunc_CN</ability>
      <abilityName>全半角问题</abilityName>
      <candidateList>
        <item>“</item>
      </candidateList>
      <explain>文本全半角错误。</explain>
      <paraID>293C184A</paraID>
      <start>207</start>
      <end>208</end>
      <status>ignored</status>
      <modifiedWord/>
      <trackRevisions>false</trackRevisions>
    </reviewItem>
    <reviewItem>
      <errorID>71b52f05-31b2-4b05-836b-0337becb1732</errorID>
      <errorWord>"</errorWord>
      <group>L1_Format</group>
      <groupName>格式问题</groupName>
      <ability>L2_HalfPunc_CN</ability>
      <abilityName>全半角问题</abilityName>
      <candidateList>
        <item>”</item>
      </candidateList>
      <explain>文本全半角错误。</explain>
      <paraID>293C184A</paraID>
      <start>210</start>
      <end>211</end>
      <status>ignored</status>
      <modifiedWord/>
      <trackRevisions>false</trackRevisions>
    </reviewItem>
    <reviewItem>
      <errorID>b47063d8-89e1-4fff-9152-a893a64eb84d</errorID>
      <errorWord>"</errorWord>
      <group>L1_Format</group>
      <groupName>格式问题</groupName>
      <ability>L2_HalfPunc_CN</ability>
      <abilityName>全半角问题</abilityName>
      <candidateList>
        <item>“</item>
      </candidateList>
      <explain>文本全半角错误。</explain>
      <paraID>293C184A</paraID>
      <start>213</start>
      <end>214</end>
      <status>ignored</status>
      <modifiedWord/>
      <trackRevisions>false</trackRevisions>
    </reviewItem>
    <reviewItem>
      <errorID>e4ac6ca0-d2f3-412a-bc2e-b73b120d2b01</errorID>
      <errorWord>"</errorWord>
      <group>L1_Format</group>
      <groupName>格式问题</groupName>
      <ability>L2_HalfPunc_CN</ability>
      <abilityName>全半角问题</abilityName>
      <candidateList>
        <item>”</item>
      </candidateList>
      <explain>文本全半角错误。</explain>
      <paraID>293C184A</paraID>
      <start>218</start>
      <end>219</end>
      <status>ignored</status>
      <modifiedWord/>
      <trackRevisions>false</trackRevisions>
    </reviewItem>
    <reviewItem>
      <errorID>7177ac17-d834-4b26-9422-d10fa9173526</errorID>
      <errorWord>"</errorWord>
      <group>L1_Format</group>
      <groupName>格式问题</groupName>
      <ability>L2_HalfPunc_CN</ability>
      <abilityName>全半角问题</abilityName>
      <candidateList>
        <item>“</item>
      </candidateList>
      <explain>文本全半角错误。</explain>
      <paraID>4C4EA4D8</paraID>
      <start>99</start>
      <end>100</end>
      <status>ignored</status>
      <modifiedWord/>
      <trackRevisions>false</trackRevisions>
    </reviewItem>
    <reviewItem>
      <errorID>c0d58966-c89a-4beb-a947-2b4f80372120</errorID>
      <errorWord>"</errorWord>
      <group>L1_Format</group>
      <groupName>格式问题</groupName>
      <ability>L2_HalfPunc_CN</ability>
      <abilityName>全半角问题</abilityName>
      <candidateList>
        <item>”</item>
      </candidateList>
      <explain>文本全半角错误。</explain>
      <paraID>4C4EA4D8</paraID>
      <start>121</start>
      <end>122</end>
      <status>ignored</status>
      <modifiedWord/>
      <trackRevisions>false</trackRevisions>
    </reviewItem>
    <reviewItem>
      <errorID>4a1f527e-5226-4189-865f-f43585ec2ae3</errorID>
      <errorWord>"</errorWord>
      <group>L1_Format</group>
      <groupName>格式问题</groupName>
      <ability>L2_HalfPunc_CN</ability>
      <abilityName>全半角问题</abilityName>
      <candidateList>
        <item>“</item>
      </candidateList>
      <explain>文本全半角错误。</explain>
      <paraID>743C7BE0</paraID>
      <start>341</start>
      <end>342</end>
      <status>ignored</status>
      <modifiedWord/>
      <trackRevisions>false</trackRevisions>
    </reviewItem>
    <reviewItem>
      <errorID>1bbfbf03-4207-4a33-805c-2f87fa0138d2</errorID>
      <errorWord>"</errorWord>
      <group>L1_Format</group>
      <groupName>格式问题</groupName>
      <ability>L2_HalfPunc_CN</ability>
      <abilityName>全半角问题</abilityName>
      <candidateList>
        <item>”</item>
      </candidateList>
      <explain>文本全半角错误。</explain>
      <paraID>743C7BE0</paraID>
      <start>353</start>
      <end>354</end>
      <status>ignored</status>
      <modifiedWord/>
      <trackRevisions>false</trackRevisions>
    </reviewItem>
    <reviewItem>
      <errorID>5f8fe0fd-b190-476d-bb8f-95450e475896</errorID>
      <errorWord>!’</errorWord>
      <group>L1_Punc</group>
      <groupName>标点问题</groupName>
      <ability>L2_Punc_CN</ability>
      <abilityName>标点符号问题</abilityName>
      <candidateList>
        <item>’</item>
      </candidateList>
      <explain/>
      <paraID>7B0BB5B4</paraID>
      <start>84</start>
      <end>86</end>
      <status>ignored</status>
      <modifiedWord/>
      <trackRevisions>false</trackRevisions>
    </reviewItem>
    <reviewItem>
      <errorID>bc653d09-69dd-4384-b7ac-068a6b23a750</errorID>
      <errorWord>:</errorWord>
      <group>L1_Format</group>
      <groupName>格式问题</groupName>
      <ability>L2_HalfPunc_CN</ability>
      <abilityName>全半角问题</abilityName>
      <candidateList>
        <item>：</item>
      </candidateList>
      <explain>文本全半角错误。</explain>
      <paraID>7B0BB5B4</paraID>
      <start>86</start>
      <end>87</end>
      <status>ignored</status>
      <modifiedWord/>
      <trackRevisions>false</trackRevisions>
    </reviewItem>
    <reviewItem>
      <errorID>b6e7d1c6-4d6c-433f-8757-e65f5030cd48</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D98C6AA</paraID>
      <start>83</start>
      <end>84</end>
      <status>ignored</status>
      <modifiedWord/>
      <trackRevisions>false</trackRevisions>
    </reviewItem>
    <reviewItem>
      <errorID>dce2f4f8-afe8-4951-a282-1e492463330a</errorID>
      <errorWord>!’</errorWord>
      <group>L1_Punc</group>
      <groupName>标点问题</groupName>
      <ability>L2_Punc_CN</ability>
      <abilityName>标点符号问题</abilityName>
      <candidateList>
        <item>’</item>
      </candidateList>
      <explain/>
      <paraID>574D15BB</paraID>
      <start>84</start>
      <end>86</end>
      <status>ignored</status>
      <modifiedWord/>
      <trackRevisions>false</trackRevisions>
    </reviewItem>
    <reviewItem>
      <errorID>27c7c064-9f02-4581-8584-e82f3cedd438</errorID>
      <errorWord>:</errorWord>
      <group>L1_Format</group>
      <groupName>格式问题</groupName>
      <ability>L2_HalfPunc_CN</ability>
      <abilityName>全半角问题</abilityName>
      <candidateList>
        <item>：</item>
      </candidateList>
      <explain>文本全半角错误。</explain>
      <paraID>574D15BB</paraID>
      <start>86</start>
      <end>87</end>
      <status>ignored</status>
      <modifiedWord/>
      <trackRevisions>false</trackRevisions>
    </reviewItem>
    <reviewItem>
      <errorID>be5be510-fc64-4fb9-b6ab-d30c5faac17b</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6BFC434B</paraID>
      <start>83</start>
      <end>84</end>
      <status>ignored</status>
      <modifiedWord/>
      <trackRevisions>false</trackRevisions>
    </reviewItem>
    <reviewItem>
      <errorID>cbc36d39-04b0-4c77-aac0-351fc433c221</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6E8CEAD5</paraID>
      <start>83</start>
      <end>84</end>
      <status>ignored</status>
      <modifiedWord/>
      <trackRevisions>false</trackRevisions>
    </reviewItem>
    <reviewItem>
      <errorID>523f89cb-0c25-4ce3-a561-ffe6eeedc807</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331A1F61</paraID>
      <start>35</start>
      <end>36</end>
      <status>ignored</status>
      <modifiedWord/>
      <trackRevisions>false</trackRevisions>
    </reviewItem>
    <reviewItem>
      <errorID>959ff83d-daff-495d-83b1-d3933d65a6fc</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C328F4D</paraID>
      <start>69</start>
      <end>70</end>
      <status>ignored</status>
      <modifiedWord/>
      <trackRevisions>false</trackRevisions>
    </reviewItem>
  </reviewItems>
  <config/>
</contractReview>
</file>

<file path=customXml/itemProps1.xml><?xml version="1.0" encoding="utf-8"?>
<ds:datastoreItem xmlns:ds="http://schemas.openxmlformats.org/officeDocument/2006/customXml" ds:itemID="{2a59c3d6-9fc5-4121-9add-e1f6d1a95347}">
  <ds:schemaRefs/>
</ds:datastoreItem>
</file>

<file path=docProps/app.xml><?xml version="1.0" encoding="utf-8"?>
<Properties xmlns="http://schemas.openxmlformats.org/officeDocument/2006/extended-properties" xmlns:vt="http://schemas.openxmlformats.org/officeDocument/2006/docPropsVTypes">
  <Template>Normal.dotm</Template>
  <Pages>55</Pages>
  <Words>11513</Words>
  <Characters>12699</Characters>
  <Lines>271</Lines>
  <Paragraphs>76</Paragraphs>
  <TotalTime>164</TotalTime>
  <ScaleCrop>false</ScaleCrop>
  <LinksUpToDate>false</LinksUpToDate>
  <CharactersWithSpaces>13031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2026-08-28T10:58:00Z</dcterms:created>
  <dc:creator>Cyan Watts</dc:creator>
  <cp:lastModifiedBy>黄小轩</cp:lastModifiedBy>
  <dcterms:modified xsi:type="dcterms:W3CDTF">2026-08-30T22:58:47Z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