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t>1</w:t>
      </w:r>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t>2</w:t>
      </w:r>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t>3</w:t>
      </w:r>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4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5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6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 7 YOLO眼部ROI划区和RITnet四分类</w:t>
      </w:r>
      <w:r>
        <w:rPr>
          <w:rFonts w:hint="eastAsia"/>
        </w:rPr>
      </w:r>
      <w:r/>
      <w:r/>
      <w:r>
        <w:rPr>
          <w:rFonts w:hint="eastAsia"/>
        </w:rPr>
      </w:r>
      <w:r>
        <w:rPr>
          <w:rFonts w:hint="eastAsia"/>
        </w:rPr>
      </w:r>
      <w:r>
        <w:rPr>
          <w:rFonts w:hint="eastAsia"/>
        </w:rPr>
      </w:r>
      <w:r/>
      <w:r/>
      <w:r w:rsidR="00611A0C">
        <w:rPr>
          <w:noProof/>
        </w:rPr>
      </w: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8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9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10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11。</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11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12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13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14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单被试 5 场次的金标准对照曾发现，呼吸谐波落入心搏频带时可形成“强而错”的锁定：质量门控（心搏带信噪比、相位稳定性、时频差）全部通过而心率仍锁半频。当前融合估计以时域峰间隔与频域谱峰两路估计的融合纠正该问题：在上述 60 窗对照中，频域一路单独估计的 MAE 为 12.7–16.1 bpm，融合后降至 9.0–11.4 bpm；其中一名此前锁半频最严重的参与者，本次 25 s 融合估计的中位绝对误差为 1.13 bpm，锁半频窗口为 0。逐搏层面的对照显示，±75 ms 容差下逐搏识别的灵敏度为 0.170、精确率为 0.211，尚不足以支持逐搏间期与心率变异性指标的解释，因此本报告不报告相关结果。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15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16）。运动能量、曝光变化与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16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17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18 RGB 眨眼候选事件的分布</w:t>
      </w:r>
    </w:p>
    <w:p>
      <w:pPr>
        <w:jc w:val="center"/>
      </w:pPr>
      <w:r>
        <w:rPr>
          <w:rFonts w:ascii="Times New Roman" w:hAnsi="Times New Roman" w:eastAsia="宋体"/>
          <w:b w:val="0"/>
          <w:sz w:val="18"/>
        </w:rPr>
        <w:t>注：A、B、C 分别为眨眼候选事件场次级频率、时长与间隔分布；数据覆盖见图 19。</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19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20）。相对基准的逐折配对差异以折为观测进行参与者级重抽样获得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20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