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9.png" ContentType="image/jpeg"/>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pPr>
        <w:jc w:val="center"/>
      </w:pPr>
      <w:r>
        <w:drawing>
          <wp:inline xmlns:a="http://schemas.openxmlformats.org/drawingml/2006/main" xmlns:pic="http://schemas.openxmlformats.org/drawingml/2006/picture">
            <wp:extent cx="5220000" cy="6786000"/>
            <wp:docPr id="1688596215" name="Picture 1688596215"/>
            <wp:cNvGraphicFramePr>
              <a:graphicFrameLocks noChangeAspect="1"/>
            </wp:cNvGraphicFramePr>
            <a:graphic>
              <a:graphicData uri="http://schemas.openxmlformats.org/drawingml/2006/picture">
                <pic:pic>
                  <pic:nvPicPr>
                    <pic:cNvPr id="0" name="技术路线图_v1.png"/>
                    <pic:cNvPicPr/>
                  </pic:nvPicPr>
                  <pic:blipFill>
                    <a:blip r:embed="rId88"/>
                    <a:stretch>
                      <a:fillRect/>
                    </a:stretch>
                  </pic:blipFill>
                  <pic:spPr>
                    <a:xfrm>
                      <a:off x="0" y="0"/>
                      <a:ext cx="5220000" cy="6786000"/>
                    </a:xfrm>
                    <a:prstGeom prst="rect"/>
                  </pic:spPr>
                </pic:pic>
              </a:graphicData>
            </a:graphic>
          </wp:inline>
        </w:drawing>
      </w:r>
    </w:p>
    <w:p>
      <w:pPr>
        <w:jc w:val="center"/>
      </w:pPr>
      <w:r>
        <w:rPr>
          <w:rFonts w:ascii="Times New Roman" w:hAnsi="Times New Roman" w:eastAsia="宋体"/>
          <w:b/>
          <w:sz w:val="21"/>
        </w:rPr>
        <w:t>图 1 FocusWave 多模态持续注意测评技术路线</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 2 不同大小的刺激呈现示例图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 3 预实验流程 (A) 各试验类型的时间结构与关键时间节点</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 4 实验流程 (B) 屏幕呈现的视觉刺激序列</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pPr>
        <w:jc w:val="center"/>
      </w:pPr>
      <w:r>
        <w:rPr>
          <w:rFonts w:ascii="Times New Roman" w:hAnsi="Times New Roman" w:eastAsia="宋体"/>
          <w:b/>
          <w:sz w:val="21"/>
        </w:rPr>
        <w:t>图 5 实验任务界面示例</w:t>
      </w:r>
    </w:p>
    <w:p>
      <w:pPr>
        <w:jc w:val="center"/>
      </w:pPr>
      <w:r>
        <w:rPr>
          <w:rFonts w:ascii="Times New Roman" w:hAnsi="Times New Roman" w:eastAsia="宋体"/>
          <w:b w:val="0"/>
          <w:sz w:val="18"/>
        </w:rPr>
        <w:t>注：任务界面以“榨汁大师”游戏情境呈现 SART 刺激。</w:t>
      </w:r>
    </w:p>
    <w:p w14:paraId="0606BFAF" w14:textId="77777777" w:rsidR="000A1692" w:rsidRDefault="00000000">
      <w:pPr>
        <w:ind w:firstLineChars="0" w:firstLine="0"/>
        <w:jc w:val="center"/>
        <w:rPr>
          <w:lang w:bidi="ar"/>
        </w:rPr>
      </w:pPr>
      <w:r>
        <w:drawing>
          <wp:inline xmlns:a="http://schemas.openxmlformats.org/drawingml/2006/main" xmlns:pic="http://schemas.openxmlformats.org/drawingml/2006/picture">
            <wp:extent cx="3240000" cy="2428138"/>
            <wp:docPr id="1688596212" name="Picture 1688596212"/>
            <wp:cNvGraphicFramePr>
              <a:graphicFrameLocks noChangeAspect="1"/>
            </wp:cNvGraphicFramePr>
            <a:graphic>
              <a:graphicData uri="http://schemas.openxmlformats.org/drawingml/2006/picture">
                <pic:pic>
                  <pic:nvPicPr>
                    <pic:cNvPr id="0" name="para_110_masked.jpeg"/>
                    <pic:cNvPicPr/>
                  </pic:nvPicPr>
                  <pic:blipFill>
                    <a:blip r:embed="rId84"/>
                    <a:stretch>
                      <a:fillRect/>
                    </a:stretch>
                  </pic:blipFill>
                  <pic:spPr>
                    <a:xfrm>
                      <a:off x="0" y="0"/>
                      <a:ext cx="3240000" cy="2428138"/>
                    </a:xfrm>
                    <a:prstGeom prst="rect"/>
                  </pic:spPr>
                </pic:pic>
              </a:graphicData>
            </a:graphic>
          </wp:inline>
        </w:drawing>
      </w:r>
    </w:p>
    <w:p>
      <w:pPr>
        <w:jc w:val="center"/>
      </w:pPr>
      <w:r>
        <w:rPr>
          <w:rFonts w:ascii="Times New Roman" w:hAnsi="Times New Roman" w:eastAsia="宋体"/>
          <w:b/>
          <w:sz w:val="21"/>
        </w:rPr>
        <w:t>图 6 实验场景示例</w:t>
      </w:r>
    </w:p>
    <w:p>
      <w:pPr>
        <w:jc w:val="center"/>
      </w:pPr>
      <w:r>
        <w:rPr>
          <w:rFonts w:ascii="Times New Roman" w:hAnsi="Times New Roman" w:eastAsia="宋体"/>
          <w:b w:val="0"/>
          <w:sz w:val="18"/>
        </w:rPr>
        <w:t>注：被试与多模态采集设备布置示意；图中人脸已作匿名化处理。</w:t>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pPr>
        <w:jc w:val="center"/>
      </w:pPr>
      <w:r>
        <w:drawing>
          <wp:inline xmlns:a="http://schemas.openxmlformats.org/drawingml/2006/main" xmlns:pic="http://schemas.openxmlformats.org/drawingml/2006/picture">
            <wp:extent cx="5040000" cy="6552000"/>
            <wp:docPr id="1688596214" name="Picture 1688596214"/>
            <wp:cNvGraphicFramePr>
              <a:graphicFrameLocks noChangeAspect="1"/>
            </wp:cNvGraphicFramePr>
            <a:graphic>
              <a:graphicData uri="http://schemas.openxmlformats.org/drawingml/2006/picture">
                <pic:pic>
                  <pic:nvPicPr>
                    <pic:cNvPr id="0" name="正式时间轴.png"/>
                    <pic:cNvPicPr/>
                  </pic:nvPicPr>
                  <pic:blipFill>
                    <a:blip r:embed="rId87"/>
                    <a:stretch>
                      <a:fillRect/>
                    </a:stretch>
                  </pic:blipFill>
                  <pic:spPr>
                    <a:xfrm>
                      <a:off x="0" y="0"/>
                      <a:ext cx="5040000" cy="6552000"/>
                    </a:xfrm>
                    <a:prstGeom prst="rect"/>
                  </pic:spPr>
                </pic:pic>
              </a:graphicData>
            </a:graphic>
          </wp:inline>
        </w:drawing>
      </w:r>
    </w:p>
    <w:p>
      <w:pPr>
        <w:jc w:val="center"/>
      </w:pPr>
      <w:r>
        <w:rPr>
          <w:rFonts w:ascii="Times New Roman" w:hAnsi="Times New Roman" w:eastAsia="宋体"/>
          <w:b/>
          <w:sz w:val="21"/>
        </w:rPr>
        <w:t>图 7 正式实验范式与时间轴</w:t>
      </w:r>
    </w:p>
    <w:p>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 8 设备示意图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sidR="009B12A6">
        <w:rPr>
          <w:rFonts w:hint="eastAsia"/>
          <w:lang w:eastAsia="zh-CN"/>
        </w:rPr>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pPr>
        <w:spacing w:line="360" w:lineRule="auto"/>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pPr>
        <w:spacing w:line="360" w:lineRule="auto"/>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pPr>
        <w:spacing w:line="360" w:lineRule="auto"/>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pPr>
        <w:spacing w:line="360" w:lineRule="auto"/>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spacing w:line="360" w:lineRule="auto"/>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spacing w:line="360" w:lineRule="auto"/>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spacing w:line="360" w:lineRule="auto"/>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pStyle w:val="3"/>
      </w:pPr>
      <w:r>
        <w:t>4.5.1 行为与思维探针</w:t>
      </w:r>
    </w:p>
    <w:p>
      <w:pPr>
        <w:spacing w:line="360" w:lineRule="auto"/>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spacing w:line="360" w:lineRule="auto"/>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pPr>
        <w:spacing w:line="360" w:lineRule="auto"/>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pStyle w:val="3"/>
      </w:pPr>
      <w:r>
        <w:t>4.5.2 近红外瞳孔测量</w:t>
      </w:r>
    </w:p>
    <w:p>
      <w:pPr>
        <w:spacing w:line="360" w:lineRule="auto"/>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pPr>
        <w:spacing w:line="360" w:lineRule="auto"/>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pPr>
        <w:spacing w:line="360" w:lineRule="auto"/>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pStyle w:val="3"/>
      </w:pPr>
      <w:r>
        <w:t>4.5.3 RGB 可见行为测量</w:t>
      </w:r>
    </w:p>
    <w:p>
      <w:pPr>
        <w:spacing w:line="360" w:lineRule="auto"/>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pPr>
        <w:spacing w:line="360" w:lineRule="auto"/>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pPr>
        <w:spacing w:line="360" w:lineRule="auto"/>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pPr>
        <w:spacing w:line="360" w:lineRule="auto"/>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pPr>
        <w:pStyle w:val="3"/>
      </w:pPr>
      <w:r>
        <w:t>4.5.4 毫米波心肺相关活动与身体微动</w:t>
      </w:r>
    </w:p>
    <w:p>
      <w:pPr>
        <w:spacing w:line="360" w:lineRule="auto"/>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p>
    <w:p>
      <w:pPr>
        <w:spacing w:line="360" w:lineRule="auto"/>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pPr>
        <w:spacing w:line="360" w:lineRule="auto"/>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pPr>
        <w:spacing w:line="360" w:lineRule="auto"/>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pPr>
        <w:spacing w:line="360" w:lineRule="auto"/>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pPr>
        <w:spacing w:line="360" w:lineRule="auto"/>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pPr>
        <w:spacing w:line="360" w:lineRule="auto"/>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pPr>
        <w:pStyle w:val="3"/>
      </w:pPr>
      <w:r>
        <w:t>4.5.5 跨模态对齐与统计推断</w:t>
      </w: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 11 正确Go试次反应时</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Pr>
          <w:noProof/>
          <w:lang w:eastAsia="zh-CN"/>
        </w:rPr>
      </w:r>
      <w:r/>
      <w:r>
        <w:rPr>
          <w:rFonts w:hint="eastAsia"/>
          <w:lang w:eastAsia="zh-CN"/>
        </w:rPr>
      </w:r>
      <w:r w:rsidRPr="00F07D05">
        <w:rPr>
          <w:rFonts w:hint="eastAsia"/>
          <w:lang w:eastAsia="zh-CN"/>
        </w:rPr>
      </w:r>
      <w:r>
        <w:rPr>
          <w:rFonts w:hint="eastAsia"/>
          <w:lang w:eastAsia="zh-CN"/>
        </w:rPr>
      </w:r>
      <w:r>
        <w:rPr>
          <w:rFonts w:hint="eastAsia"/>
          <w:lang w:eastAsia="zh-CN"/>
        </w:rPr>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pPr>
        <w:jc w:val="center"/>
      </w:pPr>
      <w:r>
        <w:rPr>
          <w:rFonts w:ascii="Times New Roman" w:hAnsi="Times New Roman" w:eastAsia="宋体"/>
          <w:b/>
          <w:sz w:val="21"/>
        </w:rPr>
        <w:t>图 12 RT-CV 的任务时间进程</w:t>
      </w:r>
    </w:p>
    <w:p>
      <w:pPr>
        <w:jc w:val="center"/>
      </w:pPr>
      <w:r>
        <w:rPr>
          <w:rFonts w:ascii="Times New Roman" w:hAnsi="Times New Roman" w:eastAsia="宋体"/>
          <w:b w:val="0"/>
          <w:sz w:val="18"/>
        </w:rPr>
        <w:t>注：A 为 B1/B2 的场次配对均值；B 为 Block×cycle 的 RT-CV 轨迹（误差线为 95% CI）。</w:t>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13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14。</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14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15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16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17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18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19）。运动能量、曝光变化与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19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20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21 RGB 眨眼候选事件的分布</w:t>
      </w:r>
    </w:p>
    <w:p>
      <w:pPr>
        <w:jc w:val="center"/>
      </w:pPr>
      <w:r>
        <w:rPr>
          <w:rFonts w:ascii="Times New Roman" w:hAnsi="Times New Roman" w:eastAsia="宋体"/>
          <w:b w:val="0"/>
          <w:sz w:val="18"/>
        </w:rPr>
        <w:t>注：A、B、C 分别为眨眼候选事件场次级频率、时长与间隔分布；数据覆盖见图 22。</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22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23）。相对基准的逐折配对差异以折为观测进行参与者级重抽样获得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pPr>
        <w:jc w:val="center"/>
      </w:pPr>
      <w:r>
        <w:drawing>
          <wp:inline xmlns:a="http://schemas.openxmlformats.org/drawingml/2006/main" xmlns:pic="http://schemas.openxmlformats.org/drawingml/2006/picture">
            <wp:extent cx="5220000" cy="2158158"/>
            <wp:docPr id="1688596213" name="Picture 1688596213"/>
            <wp:cNvGraphicFramePr>
              <a:graphicFrameLocks noChangeAspect="1"/>
            </wp:cNvGraphicFramePr>
            <a:graphic>
              <a:graphicData uri="http://schemas.openxmlformats.org/drawingml/2006/picture">
                <pic:pic>
                  <pic:nvPicPr>
                    <pic:cNvPr id="0" name="incremental_forest_56.png"/>
                    <pic:cNvPicPr/>
                  </pic:nvPicPr>
                  <pic:blipFill>
                    <a:blip r:embed="rId85"/>
                    <a:stretch>
                      <a:fillRect/>
                    </a:stretch>
                  </pic:blipFill>
                  <pic:spPr>
                    <a:xfrm>
                      <a:off x="0" y="0"/>
                      <a:ext cx="5220000" cy="2158158"/>
                    </a:xfrm>
                    <a:prstGeom prst="rect"/>
                  </pic:spPr>
                </pic:pic>
              </a:graphicData>
            </a:graphic>
          </wp:inline>
        </w:drawing>
      </w:r>
    </w:p>
    <w:p>
      <w:pPr>
        <w:jc w:val="center"/>
      </w:pPr>
      <w:r>
        <w:rPr>
          <w:rFonts w:ascii="Times New Roman" w:hAnsi="Times New Roman" w:eastAsia="宋体"/>
          <w:b/>
          <w:sz w:val="21"/>
        </w:rPr>
        <w:t>图 23 各模态组合相对行为基准的 ROC-AUC 增量</w:t>
      </w:r>
    </w:p>
    <w:p>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6.1 状态相关模式与文献对照</w:t>
      </w:r>
    </w:p>
    <w:p>
      <w:pPr>
        <w:spacing w:line="360" w:lineRule="auto"/>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pPr>
        <w:spacing w:line="360" w:lineRule="auto"/>
        <w:ind w:firstLine="420"/>
        <w:jc w:val="both"/>
      </w:pPr>
      <w:r>
        <w:rPr>
          <w:rFonts w:ascii="Times New Roman" w:hAnsi="Times New Roman" w:eastAsia="宋体"/>
          <w:b w:val="0"/>
          <w:sz w:val="21"/>
        </w:rPr>
        <w:t>毫米波层面，心率与"大脑空白"的正向关联（三种心率估计方向一致）同样与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pPr>
        <w:spacing w:line="360" w:lineRule="auto"/>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pPr>
        <w:spacing w:line="360" w:lineRule="auto"/>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14:textId="77777777" w:rsidR="000A1692" w:rsidRDefault="00000000">
      <w:pPr>
        <w:pStyle w:val="3"/>
        <w:rPr>
          <w:lang w:eastAsia="zh-CN"/>
        </w:rPr>
      </w:pPr>
      <w:r>
        <w:rPr>
          <w:rFonts w:hint="eastAsia"/>
          <w:lang w:eastAsia="zh-CN"/>
        </w:rPr>
        <w:t>6.2 多模态增量、测量边界与未来方向</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pPr>
        <w:spacing w:line="360" w:lineRule="auto"/>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pPr>
        <w:spacing w:line="360" w:lineRule="auto"/>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pPr>
        <w:spacing w:line="360" w:lineRule="auto"/>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pPr>
        <w:spacing w:line="360" w:lineRule="auto"/>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pPr>
        <w:pStyle w:val="2"/>
      </w:pPr>
      <w:r>
        <w:t>7 特色与创新</w:t>
      </w:r>
    </w:p>
    <w:p>
      <w:pPr>
        <w:spacing w:line="360" w:lineRule="auto"/>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spacing w:line="360" w:lineRule="auto"/>
      </w:pPr>
      <w:r>
        <w:rPr>
          <w:rFonts w:ascii="Times New Roman" w:hAnsi="Times New Roman" w:eastAsia="宋体"/>
          <w:b w:val="0"/>
          <w:sz w:val="21"/>
        </w:rPr>
        <w:t>Theil, H. (1950). A rank-invariant method of linear and polynomial regression analysis. Indagationes Mathematicae, 12, 85–91.</w:t>
      </w:r>
    </w:p>
    <w:p>
      <w:pPr>
        <w:spacing w:line="360" w:lineRule="auto"/>
      </w:pPr>
      <w:r>
        <w:rPr>
          <w:rFonts w:ascii="Times New Roman" w:hAnsi="Times New Roman" w:eastAsia="宋体"/>
          <w:b w:val="0"/>
          <w:sz w:val="21"/>
        </w:rPr>
        <w:t>Soukupová, T., &amp; Čech, J. (2016). Real-time eye blink detection using facial landmarks. In 21st Computer Vision Winter Workshop (pp. 1–8).</w:t>
      </w:r>
    </w:p>
    <w:p>
      <w:pPr>
        <w:spacing w:line="360" w:lineRule="auto"/>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pPr>
        <w:spacing w:line="360" w:lineRule="auto"/>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pPr>
        <w:spacing w:line="360" w:lineRule="auto"/>
      </w:pPr>
      <w:r>
        <w:rPr>
          <w:rFonts w:ascii="Times New Roman" w:hAnsi="Times New Roman" w:eastAsia="宋体"/>
          <w:b w:val="0"/>
          <w:sz w:val="21"/>
        </w:rPr>
        <w:t>Macmillan, N. A., &amp; Creelman, C. D. (2005). Detection theory: A user's guide (2nd ed.). Psychology Press.</w:t>
      </w:r>
    </w:p>
    <w:p>
      <w:pPr>
        <w:spacing w:line="360" w:lineRule="auto"/>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pPr>
        <w:spacing w:line="360" w:lineRule="auto"/>
      </w:pPr>
      <w:r>
        <w:rPr>
          <w:rFonts w:ascii="Times New Roman" w:hAnsi="Times New Roman" w:eastAsia="宋体"/>
          <w:b w:val="0"/>
          <w:sz w:val="21"/>
        </w:rPr>
        <w:t>Liang, K.-Y., &amp; Zeger, S. L. (1986). Longitudinal data analysis using generalized linear models. Biometrika, 73(1), 13–22. https://doi.org/10.1093/biomet/73.1.13</w:t>
      </w:r>
    </w:p>
    <w:p>
      <w:pPr>
        <w:spacing w:line="360" w:lineRule="auto"/>
      </w:pPr>
      <w:r>
        <w:rPr>
          <w:rFonts w:ascii="Times New Roman" w:hAnsi="Times New Roman" w:eastAsia="宋体"/>
          <w:b w:val="0"/>
          <w:sz w:val="21"/>
        </w:rPr>
        <w:t>Efron, B., &amp; Tibshirani, R. J. (1994). An introduction to the bootstrap. CRC Press.</w:t>
      </w:r>
    </w:p>
    <w:p>
      <w:pPr>
        <w:spacing w:line="360" w:lineRule="auto"/>
      </w:pPr>
      <w:r>
        <w:rPr>
          <w:rFonts w:ascii="Times New Roman" w:hAnsi="Times New Roman" w:eastAsia="宋体"/>
          <w:b w:val="0"/>
          <w:sz w:val="21"/>
        </w:rPr>
        <w:t>Dragomiretskiy, K., &amp; Zosso, D. (2014). Variational mode decomposition. IEEE Transactions on Signal Processing, 62(3), 531–544. https://doi.org/10.1109/TSP.2013.2288675</w:t>
      </w:r>
    </w:p>
    <w:p>
      <w:pPr>
        <w:spacing w:line="360" w:lineRule="auto"/>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spacing w:line="360" w:lineRule="auto"/>
      </w:pPr>
      <w:r>
        <w:rPr>
          <w:rFonts w:ascii="Times New Roman" w:hAnsi="Times New Roman" w:eastAsia="宋体"/>
          <w:b w:val="0"/>
          <w:sz w:val="21"/>
        </w:rPr>
        <w:t>Bazarevsky, V., Grishchenko, I., Raveendran, K., Zhu, T., Zhang, F., &amp; Grundmann, M. (2020). BlazePose: On-device real-time body pose tracking. arXiv preprint arXiv:2006.10204.</w:t>
      </w: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jpeg"/><Relationship Id="rId85" Type="http://schemas.openxmlformats.org/officeDocument/2006/relationships/image" Target="media/image28.png"/><Relationship Id="rId86" Type="http://schemas.openxmlformats.org/officeDocument/2006/relationships/image" Target="media/image29.png"/><Relationship Id="rId87" Type="http://schemas.openxmlformats.org/officeDocument/2006/relationships/image" Target="media/image30.png"/><Relationship Id="rId88" Type="http://schemas.openxmlformats.org/officeDocument/2006/relationships/image" Target="media/image31.png"/><Relationship Id="rId8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