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111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111</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遗漏进一步分为无时序歧义遗漏和时序歧义遗漏。</w:t>
      </w:r>
      <w:r w:rsidRPr="00E823A8">
        <w:t xml:space="preserve">B1 </w:t>
      </w:r>
      <w:r w:rsidRPr="00E823A8">
        <w:t>与</w:t>
      </w:r>
      <w:r w:rsidRPr="00E823A8">
        <w:t xml:space="preserve"> B2 </w:t>
      </w:r>
      <w:r w:rsidRPr="00E823A8">
        <w:t>比较显示，总</w:t>
      </w:r>
      <w:r w:rsidRPr="00E823A8">
        <w:t xml:space="preserve"> Go </w:t>
      </w:r>
      <w:r w:rsidRPr="00E823A8">
        <w:t>遗漏率和无时序歧义遗漏率均未出现明确区块差异；时序歧义遗漏率在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）、无时序歧义</w:t>
      </w:r>
      <w:r w:rsidRPr="005114EE">
        <w:t xml:space="preserve"> Go </w:t>
      </w:r>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r>
        <w:t>【测试插入】正式实验共 61 名参与者、109 个场次进入近红外瞳孔分析。</w:t>
      </w:r>
    </w:p>
    <w:p>
      <w:r>
        <w:drawing>
          <wp:inline xmlns:a="http://schemas.openxmlformats.org/drawingml/2006/main" xmlns:pic="http://schemas.openxmlformats.org/drawingml/2006/picture">
            <wp:extent cx="5029200" cy="5756876"/>
            <wp:docPr id="1688596197" name="Picture 1688596197"/>
            <wp:cNvGraphicFramePr>
              <a:graphicFrameLocks noChangeAspect="1"/>
            </wp:cNvGraphicFramePr>
            <a:graphic>
              <a:graphicData uri="http://schemas.openxmlformats.org/drawingml/2006/picture">
                <pic:pic>
                  <pic:nvPicPr>
                    <pic:cNvPr id="0" name="behavior_core_2x3_combined.png"/>
                    <pic:cNvPicPr/>
                  </pic:nvPicPr>
                  <pic:blipFill>
                    <a:blip r:embed="rId71"/>
                    <a:stretch>
                      <a:fillRect/>
                    </a:stretch>
                  </pic:blipFill>
                  <pic:spPr>
                    <a:xfrm>
                      <a:off x="0" y="0"/>
                      <a:ext cx="5029200" cy="5756876"/>
                    </a:xfrm>
                    <a:prstGeom prst="rect"/>
                  </pic:spPr>
                </pic:pic>
              </a:graphicData>
            </a:graphic>
          </wp:inline>
        </w:drawing>
      </w:r>
    </w:p>
    <w:p w14:paraId="035B6316" w14:textId="77777777" w:rsidR="000A1692" w:rsidRDefault="00000000">
      <w:pPr>
        <w:pStyle w:val="4"/>
      </w:pPr>
      <w:r>
        <w:t xml:space="preserve">5.3.2 </w:t>
      </w:r>
      <w:r>
        <w:t>视觉条件、任务进程与瞳孔变化</w:t>
      </w:r>
    </w:p>
    <w:p w14:paraId="50C16467" w14:textId="77777777" w:rsidR="000A1692" w:rsidRDefault="00000000">
      <w:pPr>
        <w:pStyle w:val="4"/>
      </w:pPr>
      <w:r>
        <w:t xml:space="preserve">5.3.3 </w:t>
      </w:r>
      <w:r>
        <w:t>瞳孔与行为及思维探针的关系</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14:paraId="3E55BD84" w14:textId="77777777" w:rsidR="000A1692" w:rsidRDefault="00000000">
      <w:pPr>
        <w:pStyle w:val="4"/>
      </w:pPr>
      <w:r>
        <w:t xml:space="preserve">5.4.2 </w:t>
      </w:r>
      <w:r>
        <w:t>呼吸、心搏相关变化与身体运动</w:t>
      </w:r>
    </w:p>
    <w:p w14:paraId="5A416F57" w14:textId="77777777" w:rsidR="000A1692" w:rsidRDefault="00000000">
      <w:pPr>
        <w:pStyle w:val="4"/>
      </w:pPr>
      <w:r>
        <w:t xml:space="preserve">5.4.3 </w:t>
      </w:r>
      <w:r>
        <w:t>毫米波特征与行为及思维探针的关系</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14:paraId="5C4E4C6D" w14:textId="77777777" w:rsidR="000A1692" w:rsidRDefault="00000000">
      <w:pPr>
        <w:pStyle w:val="4"/>
      </w:pPr>
      <w:r>
        <w:t xml:space="preserve">5.5.2 </w:t>
      </w:r>
      <w:r>
        <w:t>姿态与方向性运动</w:t>
      </w:r>
    </w:p>
    <w:p w14:paraId="4C273DE5" w14:textId="77777777" w:rsidR="000A1692" w:rsidRDefault="00000000">
      <w:pPr>
        <w:pStyle w:val="4"/>
      </w:pPr>
      <w:r>
        <w:rPr>
          <w:rFonts w:hint="eastAsia"/>
        </w:rPr>
        <w:t xml:space="preserve">5.5.3 </w:t>
      </w:r>
      <w:r>
        <w:rPr>
          <w:rFonts w:hint="eastAsia"/>
        </w:rPr>
        <w:t>眨眼候选事件</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14:paraId="27BA8F53" w14:textId="77777777" w:rsidR="000A1692" w:rsidRDefault="00000000">
      <w:pPr>
        <w:pStyle w:val="4"/>
      </w:pPr>
      <w:r>
        <w:t xml:space="preserve">5.6.2 </w:t>
      </w:r>
      <w:r>
        <w:t>单模态、双模态与完整多模态增量</w:t>
      </w:r>
    </w:p>
    <w:p w14:paraId="16845489" w14:textId="77777777" w:rsidR="000A1692" w:rsidRDefault="00000000">
      <w:pPr>
        <w:pStyle w:val="4"/>
      </w:pPr>
      <w:r>
        <w:t xml:space="preserve">5.6.3 </w:t>
      </w:r>
      <w:r>
        <w:t>模态互补、平均边际贡献与补充</w:t>
      </w:r>
      <w:r>
        <w:t xml:space="preserve"> AI </w:t>
      </w:r>
      <w:r>
        <w:t>融合</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