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9.png" ContentType="image/jpeg"/>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pPr>
        <w:jc w:val="center"/>
      </w:pPr>
      <w:r>
        <w:drawing>
          <wp:inline xmlns:a="http://schemas.openxmlformats.org/drawingml/2006/main" xmlns:pic="http://schemas.openxmlformats.org/drawingml/2006/picture">
            <wp:extent cx="5220000" cy="6786000"/>
            <wp:docPr id="1688596215" name="Picture 1688596215"/>
            <wp:cNvGraphicFramePr>
              <a:graphicFrameLocks noChangeAspect="1"/>
            </wp:cNvGraphicFramePr>
            <a:graphic>
              <a:graphicData uri="http://schemas.openxmlformats.org/drawingml/2006/picture">
                <pic:pic>
                  <pic:nvPicPr>
                    <pic:cNvPr id="0" name="技术路线图_v1.png"/>
                    <pic:cNvPicPr/>
                  </pic:nvPicPr>
                  <pic:blipFill>
                    <a:blip r:embed="rId88"/>
                    <a:stretch>
                      <a:fillRect/>
                    </a:stretch>
                  </pic:blipFill>
                  <pic:spPr>
                    <a:xfrm>
                      <a:off x="0" y="0"/>
                      <a:ext cx="5220000" cy="6786000"/>
                    </a:xfrm>
                    <a:prstGeom prst="rect"/>
                  </pic:spPr>
                </pic:pic>
              </a:graphicData>
            </a:graphic>
          </wp:inline>
        </w:drawing>
      </w:r>
    </w:p>
    <w:p>
      <w:pPr>
        <w:jc w:val="center"/>
      </w:pPr>
      <w:r>
        <w:rPr>
          <w:rFonts w:ascii="Times New Roman" w:hAnsi="Times New Roman" w:eastAsia="宋体"/>
          <w:b/>
          <w:sz w:val="21"/>
        </w:rPr>
        <w:t>图 1 FocusWave 多模态持续注意测评技术路线</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 2 不同大小的刺激呈现示例图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 3 预实验流程 (A) 各试验类型的时间结构与关键时间节点</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 4 实验流程 (B) 屏幕呈现的视觉刺激序列</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5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6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pPr>
        <w:jc w:val="center"/>
      </w:pPr>
      <w:r>
        <w:drawing>
          <wp:inline xmlns:a="http://schemas.openxmlformats.org/drawingml/2006/main" xmlns:pic="http://schemas.openxmlformats.org/drawingml/2006/picture">
            <wp:extent cx="5040000" cy="6552000"/>
            <wp:docPr id="1688596214" name="Picture 1688596214"/>
            <wp:cNvGraphicFramePr>
              <a:graphicFrameLocks noChangeAspect="1"/>
            </wp:cNvGraphicFramePr>
            <a:graphic>
              <a:graphicData uri="http://schemas.openxmlformats.org/drawingml/2006/picture">
                <pic:pic>
                  <pic:nvPicPr>
                    <pic:cNvPr id="0" name="正式时间轴.png"/>
                    <pic:cNvPicPr/>
                  </pic:nvPicPr>
                  <pic:blipFill>
                    <a:blip r:embed="rId87"/>
                    <a:stretch>
                      <a:fillRect/>
                    </a:stretch>
                  </pic:blipFill>
                  <pic:spPr>
                    <a:xfrm>
                      <a:off x="0" y="0"/>
                      <a:ext cx="5040000" cy="6552000"/>
                    </a:xfrm>
                    <a:prstGeom prst="rect"/>
                  </pic:spPr>
                </pic:pic>
              </a:graphicData>
            </a:graphic>
          </wp:inline>
        </w:drawing>
      </w:r>
    </w:p>
    <w:p>
      <w:pPr>
        <w:jc w:val="center"/>
      </w:pPr>
      <w:r>
        <w:rPr>
          <w:rFonts w:ascii="Times New Roman" w:hAnsi="Times New Roman" w:eastAsia="宋体"/>
          <w:b/>
          <w:sz w:val="21"/>
        </w:rPr>
        <w:t>图 7 正式实验范式与时间轴</w:t>
      </w:r>
    </w:p>
    <w:p>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8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 9 YOLO眼部ROI划区和RITnet四分类</w:t>
      </w:r>
      <w:r>
        <w:rPr>
          <w:rFonts w:hint="eastAsia"/>
        </w:rPr>
      </w:r>
      <w:r/>
      <w:r/>
      <w:r>
        <w:rPr>
          <w:rFonts w:hint="eastAsia"/>
        </w:rPr>
      </w:r>
      <w:r>
        <w:rPr>
          <w:rFonts w:hint="eastAsia"/>
        </w:rPr>
      </w:r>
      <w:r>
        <w:rPr>
          <w:rFonts w:hint="eastAsia"/>
        </w:rPr>
      </w:r>
      <w:r/>
      <w:r/>
      <w:r w:rsidR="00611A0C">
        <w:rPr>
          <w:noProof/>
        </w:rPr>
      </w: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r>
        <w:rPr>
          <w:rFonts w:hint="eastAsia"/>
          <w:lang w:eastAsia="zh-CN"/>
        </w:rPr>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pPr>
        <w:jc w:val="center"/>
      </w:pPr>
      <w:r>
        <w:drawing>
          <wp:inline xmlns:a="http://schemas.openxmlformats.org/drawingml/2006/main" xmlns:pic="http://schemas.openxmlformats.org/drawingml/2006/picture">
            <wp:extent cx="5220000" cy="3264969"/>
            <wp:docPr id="1688596216" name="Picture 1688596216"/>
            <wp:cNvGraphicFramePr>
              <a:graphicFrameLocks noChangeAspect="1"/>
            </wp:cNvGraphicFramePr>
            <a:graphic>
              <a:graphicData uri="http://schemas.openxmlformats.org/drawingml/2006/picture">
                <pic:pic>
                  <pic:nvPicPr>
                    <pic:cNvPr id="0" name="毫米波管线图_v1.png"/>
                    <pic:cNvPicPr/>
                  </pic:nvPicPr>
                  <pic:blipFill>
                    <a:blip r:embed="rId89"/>
                    <a:stretch>
                      <a:fillRect/>
                    </a:stretch>
                  </pic:blipFill>
                  <pic:spPr>
                    <a:xfrm>
                      <a:off x="0" y="0"/>
                      <a:ext cx="5220000" cy="3264969"/>
                    </a:xfrm>
                    <a:prstGeom prst="rect"/>
                  </pic:spPr>
                </pic:pic>
              </a:graphicData>
            </a:graphic>
          </wp:inline>
        </w:drawing>
      </w:r>
    </w:p>
    <w:p>
      <w:pPr>
        <w:jc w:val="center"/>
      </w:pPr>
      <w:r>
        <w:rPr>
          <w:rFonts w:ascii="Times New Roman" w:hAnsi="Times New Roman" w:eastAsia="宋体"/>
          <w:b/>
          <w:sz w:val="21"/>
        </w:rPr>
        <w:t>图 10 毫米波心率与呼吸估计处理管线</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11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12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13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14。</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14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15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16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17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18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19）。运动能量、曝光变化与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19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20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21 RGB 眨眼候选事件的分布</w:t>
      </w:r>
    </w:p>
    <w:p>
      <w:pPr>
        <w:jc w:val="center"/>
      </w:pPr>
      <w:r>
        <w:rPr>
          <w:rFonts w:ascii="Times New Roman" w:hAnsi="Times New Roman" w:eastAsia="宋体"/>
          <w:b w:val="0"/>
          <w:sz w:val="18"/>
        </w:rPr>
        <w:t>注：A、B、C 分别为眨眼候选事件场次级频率、时长与间隔分布；数据覆盖见图 22。</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22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23）。相对基准的逐折配对差异以折为观测进行参与者级重抽样获得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23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 Id="rId86" Type="http://schemas.openxmlformats.org/officeDocument/2006/relationships/image" Target="media/image29.png"/><Relationship Id="rId87" Type="http://schemas.openxmlformats.org/officeDocument/2006/relationships/image" Target="media/image30.png"/><Relationship Id="rId88" Type="http://schemas.openxmlformats.org/officeDocument/2006/relationships/image" Target="media/image31.png"/><Relationship Id="rId8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