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36"/>
        </w:rPr>
        <w:t>Background Check Compliance Letter</w:t>
      </w:r>
    </w:p>
    <w:p>
      <w:pPr>
        <w:pBdr>
          <w:bottom w:val="single" w:sz="12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To Whom It May Concern:</w:t>
      </w: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We confirm that all personnel assigned to our projects undergo standard screenings before receiving site access. Our standard screening includes: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National criminal background check (7-year history)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National sex offender registry check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10-panel drug screen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Government-issued photo ID verification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10-Hour Construction Safety certification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First Aid / CPR certification</w:t>
      </w: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For projects at K-12 schools, healthcare facilities, or federal sites, we apply enhanced screenings: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State child abuse / neglect registry check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FBI fingerprint-based background check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Facility-specific badging and credentialing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30-Hour Construction Safety certification (field supervisors)</w:t>
      </w: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2E7D32"/>
          <w:sz w:val="20"/>
        </w:rPr>
        <w:t>Program controls: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conduct all screenings through a licensed third-party provider.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keep results confidential under FCRA guidelines.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provide clearance documentation to the General Contractor upon request.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 not assign personnel who do not pass screening to the project.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hold all GCC sub-labor to these same screening requirements.</w:t>
      </w:r>
    </w:p>
    <w:p>
      <w:pPr>
        <w:spacing w:after="16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80"/>
      </w:pPr>
      <w:r>
        <w:rPr>
          <w:rFonts w:ascii="Calibri" w:hAnsi="Calibri"/>
          <w:b/>
          <w:i w:val="0"/>
          <w:color w:val="455A64"/>
          <w:sz w:val="20"/>
        </w:rPr>
        <w:t>For verification, contact: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Kaitlyn Morris, CEO  ·  Green Communications Contracting LLC</w:t>
      </w:r>
    </w:p>
    <w:p>
      <w:pPr>
        <w:spacing w:after="280"/>
      </w:pPr>
      <w:r>
        <w:rPr>
          <w:rFonts w:ascii="Calibri" w:hAnsi="Calibri"/>
          <w:b w:val="0"/>
          <w:i w:val="0"/>
          <w:color w:val="455A64"/>
          <w:sz w:val="20"/>
        </w:rPr>
        <w:t>kaitlyn@greencommllc.com  ·  (636) 224-8192</w:t>
      </w:r>
    </w:p>
    <w:p>
      <w:pPr>
        <w:spacing w:after="160"/>
      </w:pP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color w:val="2E7D32"/>
          <w:sz w:val="22"/>
        </w:rPr>
        <w:t>Kaitlyn Morris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CEO — Green Communications Contracting LLC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18"/>
        </w:rPr>
        <w:t>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28800" cy="1828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with name and cont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828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