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D32"/>
          <w:sz w:val="36"/>
        </w:rPr>
        <w:t>Bonding Capacity Statement</w:t>
      </w:r>
    </w:p>
    <w:p>
      <w:pPr>
        <w:pBdr>
          <w:bottom w:val="single" w:sz="12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To Whom It May Concern:</w:t>
      </w:r>
    </w:p>
    <w:p>
      <w:pPr>
        <w:spacing w:after="240"/>
      </w:pPr>
      <w:r>
        <w:rPr>
          <w:rFonts w:ascii="Calibri" w:hAnsi="Calibri"/>
          <w:b w:val="0"/>
          <w:i w:val="0"/>
          <w:color w:val="455A64"/>
          <w:sz w:val="20"/>
        </w:rPr>
        <w:t>We are establishing bonding capacity through our surety to support public and prevailing-wage projects that require performance and payment bonds.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Current Status</w:t>
      </w:r>
    </w:p>
    <w:p>
      <w:pPr>
        <w:keepNext/>
        <w:spacing w:before="0" w:after="200"/>
        <w:pBdr>
          <w:bottom w:val="single" w:sz="8" w:color="2E7D32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768"/>
      </w:tblGrid>
      <w:tr>
        <w:trPr>
          <w:cantSplit/>
          <w:tblHeader/>
        </w:trPr>
        <w:tc>
          <w:tcPr>
            <w:tcW w:type="dxa" w:w="316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8"/>
            <w:shd w:val="clear" w:color="auto" w:fill="2E7D32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Surety Relationship</w:t>
            </w:r>
          </w:p>
        </w:tc>
        <w:tc>
          <w:tcPr>
            <w:tcW w:type="dxa" w:w="676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In process — establishing with a rated surety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Single-Project Limit</w:t>
            </w:r>
          </w:p>
        </w:tc>
        <w:tc>
          <w:tcPr>
            <w:tcW w:type="dxa" w:w="676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To be determined by surety</w:t>
            </w:r>
          </w:p>
        </w:tc>
      </w:tr>
      <w:tr>
        <w:trPr>
          <w:cantSplit/>
        </w:trPr>
        <w:tc>
          <w:tcPr>
            <w:tcW w:type="dxa" w:w="316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Aggregate Limit</w:t>
            </w:r>
          </w:p>
        </w:tc>
        <w:tc>
          <w:tcPr>
            <w:tcW w:type="dxa" w:w="6768"/>
            <w:shd w:val="clear" w:color="auto" w:fill="F1F8F1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To be determined by surety</w:t>
            </w:r>
          </w:p>
        </w:tc>
      </w:tr>
      <w:tr>
        <w:trPr>
          <w:cantSplit/>
        </w:trPr>
        <w:tc>
          <w:tcPr>
            <w:tcW w:type="dxa" w:w="316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Bond Rate (estimated)</w:t>
            </w:r>
          </w:p>
        </w:tc>
        <w:tc>
          <w:tcPr>
            <w:tcW w:type="dxa" w:w="6768"/>
            <w:tcBorders>
              <w:top w:val="single" w:sz="4" w:color="455A64"/>
              <w:left w:val="single" w:sz="4" w:color="455A64"/>
              <w:bottom w:val="single" w:sz="4" w:color="455A64"/>
              <w:right w:val="single" w:sz="4" w:color="455A64"/>
            </w:tcBorders>
            <w:vAlign w:val="center"/>
          </w:tcPr>
          <w:p>
            <w:pPr>
              <w:jc w:val="left"/>
            </w:pPr>
            <w:r>
              <w:rPr>
                <w:rFonts w:ascii="Calibri" w:hAnsi="Calibri"/>
                <w:color w:val="455A64"/>
                <w:sz w:val="20"/>
              </w:rPr>
              <w:t>Prevailing surety market rates</w:t>
            </w:r>
          </w:p>
        </w:tc>
      </w:tr>
    </w:tbl>
    <w:p>
      <w:pPr>
        <w:spacing w:after="120"/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Financial Position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maintain positive cash flow and adequate working capital.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have no outstanding liens, judgments, or bankruptcies.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maintain a clean credit history.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carry full insurance coverage (WC, CGL, umbrella available).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For Projects Requiring Bonds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include the estimated bond premium (at current surety market rates) as a line item in our bid.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can provide a surety letter of intent upon request.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We obtain the bond within 10 business days of award.</w:t>
      </w:r>
    </w:p>
    <w:p>
      <w:pPr>
        <w:spacing w:after="360"/>
      </w:pPr>
      <w:r>
        <w:rPr>
          <w:rFonts w:ascii="Calibri" w:hAnsi="Calibri"/>
          <w:b w:val="0"/>
          <w:i w:val="0"/>
          <w:color w:val="455A64"/>
          <w:sz w:val="20"/>
        </w:rPr>
        <w:t>If this project requires a performance and/or payment bond, please notify us at bid time so we can include the cost and confirm availability with our surety.</w:t>
      </w:r>
    </w:p>
    <w:p>
      <w:pPr>
        <w:spacing w:after="160"/>
      </w:pPr>
    </w:p>
    <w:p>
      <w:pPr>
        <w:spacing w:after="360"/>
      </w:pPr>
      <w:r>
        <w:rPr>
          <w:rFonts w:ascii="Calibri" w:hAnsi="Calibri"/>
          <w:b w:val="0"/>
          <w:i w:val="0"/>
          <w:color w:val="455A64"/>
          <w:sz w:val="20"/>
        </w:rPr>
        <w:t>Sincerely,</w:t>
      </w:r>
    </w:p>
    <w:p>
      <w:pPr>
        <w:spacing w:after="0"/>
      </w:pPr>
      <w:r>
        <w:rPr>
          <w:rFonts w:ascii="Calibri" w:hAnsi="Calibri"/>
          <w:b/>
          <w:i w:val="0"/>
          <w:color w:val="2E7D32"/>
          <w:sz w:val="22"/>
        </w:rPr>
        <w:t>Kaitlyn Morris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20"/>
        </w:rPr>
        <w:t>CEO — Green Communications Contracting LLC</w:t>
      </w:r>
    </w:p>
    <w:p>
      <w:pPr>
        <w:spacing w:after="0"/>
      </w:pPr>
      <w:r>
        <w:rPr>
          <w:rFonts w:ascii="Calibri" w:hAnsi="Calibri"/>
          <w:b w:val="0"/>
          <w:i w:val="0"/>
          <w:color w:val="455A64"/>
          <w:sz w:val="18"/>
        </w:rPr>
        <w:t>kaitlyn@greencommllc.com  ·  (636) 224-8192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828800" cy="18288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with name and cont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1828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