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40"/>
        </w:rPr>
        <w:t>Commercial Services Catalog</w:t>
      </w:r>
    </w:p>
    <w:p>
      <w:pPr>
        <w:spacing w:after="200"/>
        <w:jc w:val="center"/>
      </w:pPr>
      <w:r>
        <w:rPr>
          <w:rFonts w:ascii="Calibri" w:hAnsi="Calibri"/>
          <w:i/>
          <w:color w:val="455A64"/>
          <w:sz w:val="22"/>
        </w:rPr>
        <w:t>Green Communications Contracting LLC  ·  Div 27 / 28  ·  KCMO &amp; STL</w:t>
      </w:r>
    </w:p>
    <w:p>
      <w:pPr>
        <w:pBdr>
          <w:bottom w:val="single" w:sz="12" w:color="2E7D32"/>
        </w:pBdr>
      </w:pPr>
    </w:p>
    <w:p>
      <w:pPr>
        <w:spacing w:after="240"/>
      </w:pPr>
      <w:r>
        <w:rPr>
          <w:rFonts w:ascii="Calibri" w:hAnsi="Calibri"/>
          <w:b w:val="0"/>
          <w:i w:val="0"/>
          <w:color w:val="455A64"/>
          <w:sz w:val="20"/>
        </w:rPr>
        <w:t>Published service units for Division 27 (Low-Voltage Communications) and Division 28 (Electronic Safety &amp; Security) work. Per-project pricing is issued via formal quote or bid — all pricing below reflects published labor rates and is subject to project-specific conditions.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1.  Labor Services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2016"/>
        <w:gridCol w:w="4032"/>
      </w:tblGrid>
      <w:tr>
        <w:trPr>
          <w:cantSplit/>
          <w:tblHeader/>
        </w:trPr>
        <w:tc>
          <w:tcPr>
            <w:tcW w:type="dxa" w:w="388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403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Rate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Standard Installation Labor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hour</w:t>
            </w:r>
          </w:p>
        </w:tc>
        <w:tc>
          <w:tcPr>
            <w:tcW w:type="dxa" w:w="403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$100.00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After-Hours / Weekend Labor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hour</w:t>
            </w:r>
          </w:p>
        </w:tc>
        <w:tc>
          <w:tcPr>
            <w:tcW w:type="dxa" w:w="40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$150.00 (alternate / change-order only)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Emergency / Same-Day Service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hour</w:t>
            </w:r>
          </w:p>
        </w:tc>
        <w:tc>
          <w:tcPr>
            <w:tcW w:type="dxa" w:w="403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$200.00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Project Management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project</w:t>
            </w:r>
          </w:p>
        </w:tc>
        <w:tc>
          <w:tcPr>
            <w:tcW w:type="dxa" w:w="40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Included in bid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Engineering / Design-Assist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hour</w:t>
            </w:r>
          </w:p>
        </w:tc>
        <w:tc>
          <w:tcPr>
            <w:tcW w:type="dxa" w:w="403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$100.00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2.  Mobilization &amp; General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2016"/>
        <w:gridCol w:w="4032"/>
      </w:tblGrid>
      <w:tr>
        <w:trPr>
          <w:cantSplit/>
          <w:tblHeader/>
        </w:trPr>
        <w:tc>
          <w:tcPr>
            <w:tcW w:type="dxa" w:w="388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403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Rate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Standard Mobilization (within 50 mi)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trip</w:t>
            </w:r>
          </w:p>
        </w:tc>
        <w:tc>
          <w:tcPr>
            <w:tcW w:type="dxa" w:w="403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$500.00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Extended Mobilization (50–150 mi)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trip</w:t>
            </w:r>
          </w:p>
        </w:tc>
        <w:tc>
          <w:tcPr>
            <w:tcW w:type="dxa" w:w="40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$1,000.00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Remote Mobilization (150+ mi)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trip</w:t>
            </w:r>
          </w:p>
        </w:tc>
        <w:tc>
          <w:tcPr>
            <w:tcW w:type="dxa" w:w="403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Custom quote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Material Delivery / Staging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trip</w:t>
            </w:r>
          </w:p>
        </w:tc>
        <w:tc>
          <w:tcPr>
            <w:tcW w:type="dxa" w:w="40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$250.00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3.  Division 27 — Structured Cabling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16"/>
      </w:tblGrid>
      <w:tr>
        <w:trPr>
          <w:cantSplit/>
          <w:tblHeader/>
        </w:trPr>
        <w:tc>
          <w:tcPr>
            <w:tcW w:type="dxa" w:w="79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Cat6A plenum horizontal cable — install, terminate, test, label (GCC baseline)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drop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Cat6 horizontal cable — legacy / retrofit only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drop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Cat5e horizontal cable — existing match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drop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OM3 multimode fiber — install, terminate, test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strand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OM4 multimode fiber — install, terminate, test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strand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OS2 singlemode fiber — install, terminate, test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strand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Fiber fusion splice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splice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WAP cable drop (Cat6A + mounting bracket)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WAP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Cable tray installation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linear foot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J-hook installation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hook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Innerduct installation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linear foot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4.  Division 27 — Telecom Room Buildout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16"/>
      </w:tblGrid>
      <w:tr>
        <w:trPr>
          <w:cantSplit/>
          <w:tblHeader/>
        </w:trPr>
        <w:tc>
          <w:tcPr>
            <w:tcW w:type="dxa" w:w="79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2-post rack — furnish and install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4-post cabinet — furnish and install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Wall-mount cabinet — furnish and install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Ladder rack — furnish and install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linear foot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Horizontal cable management — furnish and install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Vertical cable management — furnish and install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Patch panel (24-port) — furnish, install, label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Patch panel (48-port) — furnish, install, label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Grounding busbar — furnish and install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Backboard (4x8 plywood) — furnish and install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5.  Division 27 — Testing &amp; Certification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16"/>
      </w:tblGrid>
      <w:tr>
        <w:trPr>
          <w:cantSplit/>
          <w:tblHeader/>
        </w:trPr>
        <w:tc>
          <w:tcPr>
            <w:tcW w:type="dxa" w:w="79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Fluke DSX-8000 copper certification (per link)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link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Fluke CertiFiber Pro fiber certification (per strand)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strand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LinkWare report generation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project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Re-test (failed link)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link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OTDR fiber characterization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strand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6.  Division 28 — Security Systems Cabling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16"/>
      </w:tblGrid>
      <w:tr>
        <w:trPr>
          <w:cantSplit/>
          <w:tblHeader/>
        </w:trPr>
        <w:tc>
          <w:tcPr>
            <w:tcW w:type="dxa" w:w="79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Access control reader — cable, mount, terminate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Door strike / maglock — cable and connect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REX device — cable and mount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Door contact — cable and mount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IP camera (fixed dome) — cable, mount, aim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IP camera (PTZ) — cable, mount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IP camera (bullet) — cable, mount, aim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Motion sensor — cable and mount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Glass break detector — cable and mount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Intercom station — cable and mount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7.  AV Rough-In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16"/>
      </w:tblGrid>
      <w:tr>
        <w:trPr>
          <w:cantSplit/>
          <w:tblHeader/>
        </w:trPr>
        <w:tc>
          <w:tcPr>
            <w:tcW w:type="dxa" w:w="79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Display rough-in (conduit + cabling + box)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Projector rough-in (conduit + cabling + box + support)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Ceiling speaker — cable and mount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Ceiling microphone — cable and mount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Floor box / poke-through — furnish and install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8.  Outside Plant (OSP)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16"/>
      </w:tblGrid>
      <w:tr>
        <w:trPr>
          <w:cantSplit/>
          <w:tblHeader/>
        </w:trPr>
        <w:tc>
          <w:tcPr>
            <w:tcW w:type="dxa" w:w="792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Aerial fiber — install on existing strand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linear foot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Underground fiber — pull through existing conduit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linear foot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Direct-burial fiber — trench and install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per linear foot</w:t>
            </w:r>
          </w:p>
        </w:tc>
      </w:tr>
      <w:tr>
        <w:trPr>
          <w:cantSplit/>
        </w:trPr>
        <w:tc>
          <w:tcPr>
            <w:tcW w:type="dxa" w:w="792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Splice enclosure — furnish and install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  <w:tr>
        <w:trPr>
          <w:cantSplit/>
        </w:trPr>
        <w:tc>
          <w:tcPr>
            <w:tcW w:type="dxa" w:w="792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Pedestal / handhole — furnish and install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each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9.  Managed Services (Post-Installation)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736"/>
      </w:tblGrid>
      <w:tr>
        <w:trPr>
          <w:cantSplit/>
          <w:tblHeader/>
        </w:trPr>
        <w:tc>
          <w:tcPr>
            <w:tcW w:type="dxa" w:w="720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7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Billing</w:t>
            </w:r>
          </w:p>
        </w:tc>
      </w:tr>
      <w:tr>
        <w:trPr>
          <w:cantSplit/>
        </w:trPr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24/7 network monitoring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monthly per device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Firewall rule management</w:t>
            </w:r>
          </w:p>
        </w:tc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monthly per site</w:t>
            </w:r>
          </w:p>
        </w:tc>
      </w:tr>
      <w:tr>
        <w:trPr>
          <w:cantSplit/>
        </w:trPr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Remote troubleshooting (4-hr SLA)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monthly per site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Firmware updates &amp; patch management</w:t>
            </w:r>
          </w:p>
        </w:tc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monthly per device</w:t>
            </w:r>
          </w:p>
        </w:tc>
      </w:tr>
      <w:tr>
        <w:trPr>
          <w:cantSplit/>
        </w:trPr>
        <w:tc>
          <w:tcPr>
            <w:tcW w:type="dxa" w:w="72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Monthly health reports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included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Configuration backup</w:t>
            </w:r>
          </w:p>
        </w:tc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455A64"/>
                <w:sz w:val="20"/>
              </w:rPr>
              <w:t>included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10.  Change Order Minimum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  <w:t>Minimum charge per change order: $500. Change-order pricing follows the hierarchy in our Bid Proposal Commercial Terms (Unit Prices → T&amp;M at published rate → negotiated lump sum).</w:t>
      </w:r>
    </w:p>
    <w:p>
      <w:pPr>
        <w:spacing w:after="16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0"/>
      </w:pPr>
      <w:r>
        <w:rPr>
          <w:rFonts w:ascii="Calibri" w:hAnsi="Calibri"/>
          <w:b w:val="0"/>
          <w:i/>
          <w:color w:val="455A64"/>
          <w:sz w:val="20"/>
        </w:rPr>
        <w:t>All pricing is subject to project-specific conditions. Contact us for a formal quote.</w:t>
      </w:r>
    </w:p>
    <w:p>
      <w:pPr>
        <w:spacing w:before="280" w:after="80"/>
      </w:pPr>
    </w:p>
    <w:p>
      <w:pPr>
        <w:pBdr>
          <w:bottom w:val="single" w:sz="12" w:color="2E7D32"/>
        </w:pBdr>
      </w:pPr>
    </w:p>
    <w:p>
      <w:pPr>
        <w:spacing w:after="0"/>
        <w:jc w:val="center"/>
      </w:pPr>
      <w:r>
        <w:rPr>
          <w:rFonts w:ascii="Calibri" w:hAnsi="Calibri"/>
          <w:b w:val="0"/>
          <w:i/>
          <w:color w:val="455A64"/>
          <w:sz w:val="18"/>
        </w:rPr>
        <w:t>Prepared by: GCC Estimating Department  ·  Contact: 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