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6"/>
        </w:rPr>
        <w:t>Data Security &amp; Acceptable Use Policy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2"/>
        </w:rPr>
        <w:t>Green Communications Contracting LLC  ·  Effective April 9, 2026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Purpose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This policy governs how we handle client data, network credentials, project documents, and technology resources. We install infrastructure that carries sensitive data — we take the security of that data seriously throughout the project lifecycle.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2.  Scope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This policy applies to all our employees, subcontractors, and any personnel who access client networks, systems, or project data during the course of our work.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3.  Client Data Handling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treat all client network credentials, IP schemes, VLAN configurations, and system access information as confidential.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share client data with any third party without written authorization.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store project documents on encrypted, access-controlled systems.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delete or return all client credentials and access information within 30 days of project completion.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photograph or record client network configurations without authorization.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4.  Network Access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When we require network access to test or certify our installations: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request access credentials through the GC or owner's designated IT contact.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use only the access level required for our scope.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modify network configurations, firewall rules, or switch settings unless explicitly included in our scope.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return or deactivate all credentials upon project completion.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report any suspected unauthorized access immediately.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5.  Devices &amp; Equipment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use only company-owned or company-approved devices on client networks.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maintain current antivirus and security patches on all company laptops and tablets.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connect personal devices to client networks.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encrypt all portable storage devices that contain project data.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6.  Physical Security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secure all telecom rooms and network closets during our work hours.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return keys, access cards, and badges to the GC at project completion.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prop open secured doors or bypass physical access controls.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report any physical security concerns to the GC immediately.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7.  Prohibited Activities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The following are strictly prohibited on client sites and networks: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Accessing systems, data, or areas outside our authorized scope.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Installing unauthorized software or hardware on client systems.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Downloading, copying, or exfiltrating client data for any purpose outside our scope.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Using client internet access for personal purposes.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Sharing client network credentials with unauthorized individuals.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Bypassing or disabling security controls.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8.  Incident Response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If we discover or suspect a data security incident: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stop the activity immediately.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notify the GC and client IT contact within 1 hour.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document the incident (what happened, when, who was involved, what data may be affected).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cooperate fully with any investigation.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implement corrective measures to prevent recurrence.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9.  Data Retention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retain project documentation (test results, as-builts, cable schedules) for 7 years.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delete client network credentials within 30 days of project completion.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destroy any physical documents containing sensitive client information by shredding.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10.  Consequences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Violations of this policy result in disciplinary action up to and including termination. Serious violations may be reported to law enforcement.</w:t>
      </w:r>
    </w:p>
    <w:p>
      <w:pPr>
        <w:spacing w:before="280" w:after="80"/>
      </w:pPr>
    </w:p>
    <w:p>
      <w:pPr>
        <w:pBdr>
          <w:bottom w:val="single" w:sz="12" w:color="2E7D32"/>
        </w:pBdr>
      </w:pPr>
    </w:p>
    <w:p>
      <w:pPr>
        <w:spacing w:after="0"/>
        <w:jc w:val="center"/>
      </w:pPr>
      <w:r>
        <w:rPr>
          <w:rFonts w:ascii="Calibri" w:hAnsi="Calibri"/>
          <w:b w:val="0"/>
          <w:i/>
          <w:color w:val="455A64"/>
          <w:sz w:val="18"/>
        </w:rPr>
        <w:t>Prepared by: GCC Estimating Department  ·  Contact: 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