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2E7D32"/>
          <w:sz w:val="48"/>
        </w:rPr>
        <w:t>Nathan Morris</w:t>
      </w:r>
    </w:p>
    <w:p>
      <w:pPr>
        <w:spacing w:after="200"/>
        <w:jc w:val="center"/>
      </w:pPr>
      <w:r>
        <w:rPr>
          <w:rFonts w:ascii="Calibri" w:hAnsi="Calibri"/>
          <w:i/>
          <w:color w:val="455A64"/>
          <w:sz w:val="24"/>
        </w:rPr>
        <w:t>Director of Operations  —  Green Communications Contracting LLC</w:t>
      </w:r>
    </w:p>
    <w:p>
      <w:pPr>
        <w:pBdr>
          <w:bottom w:val="single" w:sz="12" w:color="2E7D32"/>
        </w:pBdr>
      </w:pP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Professional Summary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200"/>
      </w:pPr>
      <w:r>
        <w:rPr>
          <w:rFonts w:ascii="Calibri" w:hAnsi="Calibri"/>
          <w:b w:val="0"/>
          <w:i w:val="0"/>
          <w:color w:val="455A64"/>
          <w:sz w:val="20"/>
        </w:rPr>
        <w:t>I bring 12+ years of healthcare IT infrastructure experience to GCC, having led or supported 600+ hospital projects across all 50 states. My background spans radiology and imaging workflow systems, network infrastructure, and large-scale technology deployments in mission-critical healthcare environments.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Role at GCC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Lead all field operations, crew supervision, and quality assurance.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Manage project scheduling, material logistics, and site coordination.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Conduct daily safety briefings and site hazard assessments.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Oversee 100% Fluke certification testing on all installed links.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Serve as QA Manager for our QA/QC program.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Coordinate directly with GC superintendents and project managers on site.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Prior Experience — Healthcare IT Infrastructure (12+ Years)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Led technology deployments at 600+ hospitals across all 50 states.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Managed radiology and imaging workflow system installations including PACS, RIS, and diagnostic workstations.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Coordinated with hospital IT departments, facilities teams, and general contractors.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Supervised crews in occupied healthcare environments with strict infection control and patient safety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Managed multi-site rollouts with simultaneous installations across multiple facilities.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Key Capabilities Transferred from Healthcare IT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Mission-critical infrastructure installation in 24/7 occupied facilities.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Strict adherence to facility-specific safety protocols and access requirements.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Network infrastructure deployment (structured cabling, fiber, equipment racks).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Vendor coordination and equipment logistics at national scale.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Quality documentation and project closeout in regulated environments.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Certifications &amp; Training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30-Hour Construction Safety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OSHA 10-Hour Construction Safety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First Aid / CPR certified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Aerial lift operator trained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455A64"/>
          <w:sz w:val="20"/>
        </w:rPr>
        <w:t>Fluke DSX-8000 / CertiFiber Pro certified operator</w:t>
      </w:r>
    </w:p>
    <w:p>
      <w:pPr>
        <w:keepNext/>
        <w:spacing w:before="160" w:after="80"/>
      </w:pPr>
      <w:r>
        <w:rPr>
          <w:rFonts w:ascii="Calibri" w:hAnsi="Calibri"/>
          <w:b/>
          <w:color w:val="2E7D32"/>
          <w:sz w:val="32"/>
        </w:rPr>
        <w:t>Contact</w:t>
      </w:r>
    </w:p>
    <w:p>
      <w:pPr>
        <w:keepNext/>
        <w:spacing w:before="0" w:after="200"/>
        <w:pBdr>
          <w:bottom w:val="single" w:sz="8" w:color="2E7D32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455A64"/>
          <w:sz w:val="20"/>
        </w:rPr>
        <w:t>info@greencommllc.com  ·  (636) 224-8192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080" w:bottom="1152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7920"/>
      <w:gridCol w:w="2160"/>
    </w:tblGrid>
    <w:tr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rPr>
              <w:rFonts w:ascii="Calibri" w:hAnsi="Calibri"/>
              <w:i/>
              <w:color w:val="455A64"/>
              <w:sz w:val="16"/>
            </w:rPr>
            <w:t>GCC LLC   ·   Proprietary &amp; Confidential   ·   Licensed &amp; Insured   ·   KCMO &amp; STL</w:t>
          </w:r>
        </w:p>
      </w:tc>
      <w:tc>
        <w:tcPr>
          <w:tcW w:type="dxa" w:w="504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455A64"/>
              <w:sz w:val="16"/>
            </w:rPr>
            <w:t xml:space="preserve">Page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Calibri" w:hAnsi="Calibri"/>
              <w:color w:val="455A64"/>
              <w:sz w:val="16"/>
            </w:rPr>
            <w:t xml:space="preserve"> of </w:t>
          </w:r>
          <w:r>
            <w:rPr>
              <w:rFonts w:ascii="Calibri" w:hAnsi="Calibri"/>
              <w:color w:val="455A64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5616"/>
      <w:gridCol w:w="4320"/>
    </w:tblGrid>
    <w:tr>
      <w:tc>
        <w:tcPr>
          <w:tcW w:type="dxa" w:w="5616"/>
          <w:tcBorders>
            <w:top w:val="nil"/>
            <w:left w:val="nil"/>
            <w:bottom w:val="nil"/>
            <w:right w:val="nil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548640" cy="54864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gcc logo only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8640" cy="5486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/>
      </w:tc>
    </w:tr>
  </w:tbl>
  <w:p>
    <w:pPr>
      <w:spacing w:before="80" w:after="0"/>
      <w:pBdr>
        <w:bottom w:val="single" w:sz="12" w:color="2E7D32"/>
      </w:pBdr>
    </w:pPr>
  </w:p>
  <w:p>
    <w:pPr>
      <w:jc w:val="right"/>
    </w:pPr>
    <w:r>
      <w:rPr>
        <w:rFonts w:ascii="Calibri" w:hAnsi="Calibri"/>
        <w:i/>
        <w:color w:val="2E7D32"/>
        <w:sz w:val="18"/>
      </w:rPr>
      <w:t>Low-Voltage Div 27/28 Contractor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