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2E7D32"/>
          <w:sz w:val="32"/>
        </w:rPr>
        <w:t>Anti-Harassment &amp; Equal Employment Opportunity Policy</w:t>
      </w:r>
    </w:p>
    <w:p>
      <w:pPr>
        <w:spacing w:after="200"/>
        <w:jc w:val="center"/>
      </w:pPr>
      <w:r>
        <w:rPr>
          <w:rFonts w:ascii="Calibri" w:hAnsi="Calibri"/>
          <w:i/>
          <w:color w:val="455A64"/>
          <w:sz w:val="22"/>
        </w:rPr>
        <w:t>Green Communications Contracting LLC  ·  Effective April 9, 2026</w:t>
      </w:r>
    </w:p>
    <w:p>
      <w:pPr>
        <w:pBdr>
          <w:bottom w:val="single" w:sz="12" w:color="2E7D32"/>
        </w:pBdr>
      </w:pPr>
    </w:p>
    <w:p>
      <w:pPr>
        <w:keepNext/>
        <w:spacing w:before="160" w:after="80"/>
      </w:pPr>
      <w:r>
        <w:rPr>
          <w:rFonts w:ascii="Calibri" w:hAnsi="Calibri"/>
          <w:b/>
          <w:color w:val="2E7D32"/>
          <w:sz w:val="32"/>
        </w:rPr>
        <w:t>1.  Policy Statement</w:t>
      </w:r>
    </w:p>
    <w:p>
      <w:pPr>
        <w:keepNext/>
        <w:spacing w:before="0" w:after="200"/>
        <w:pBdr>
          <w:bottom w:val="single" w:sz="8" w:color="2E7D32"/>
        </w:pBdr>
      </w:pPr>
    </w:p>
    <w:p>
      <w:pPr>
        <w:spacing w:after="200"/>
      </w:pPr>
      <w:r>
        <w:rPr>
          <w:rFonts w:ascii="Calibri" w:hAnsi="Calibri"/>
          <w:b w:val="0"/>
          <w:i w:val="0"/>
          <w:color w:val="455A64"/>
          <w:sz w:val="20"/>
        </w:rPr>
        <w:t>We are an equal opportunity employer. We do not discriminate in hiring, promotion, compensation, termination, or any other employment practice based on race, color, religion, sex, sexual orientation, gender identity, national origin, age, disability, veteran status, genetic information, or any other characteristic protected by federal, state, or local law.</w:t>
      </w:r>
    </w:p>
    <w:p>
      <w:pPr>
        <w:keepNext/>
        <w:spacing w:before="160" w:after="80"/>
      </w:pPr>
      <w:r>
        <w:rPr>
          <w:rFonts w:ascii="Calibri" w:hAnsi="Calibri"/>
          <w:b/>
          <w:color w:val="2E7D32"/>
          <w:sz w:val="32"/>
        </w:rPr>
        <w:t>2.  Scope</w:t>
      </w:r>
    </w:p>
    <w:p>
      <w:pPr>
        <w:keepNext/>
        <w:spacing w:before="0" w:after="200"/>
        <w:pBdr>
          <w:bottom w:val="single" w:sz="8" w:color="2E7D32"/>
        </w:pBdr>
      </w:pPr>
    </w:p>
    <w:p>
      <w:pPr>
        <w:spacing w:after="200"/>
      </w:pPr>
      <w:r>
        <w:rPr>
          <w:rFonts w:ascii="Calibri" w:hAnsi="Calibri"/>
          <w:b w:val="0"/>
          <w:i w:val="0"/>
          <w:color w:val="455A64"/>
          <w:sz w:val="20"/>
        </w:rPr>
        <w:t>This policy applies to all our employees, applicants, subcontractors, vendors, and any individuals working on our project sites or in our facilities. It covers all aspects of employment including recruitment, hiring, training, compensation, benefits, promotions, transfers, discipline, and termination.</w:t>
      </w:r>
    </w:p>
    <w:p>
      <w:pPr>
        <w:keepNext/>
        <w:spacing w:before="160" w:after="80"/>
      </w:pPr>
      <w:r>
        <w:rPr>
          <w:rFonts w:ascii="Calibri" w:hAnsi="Calibri"/>
          <w:b/>
          <w:color w:val="2E7D32"/>
          <w:sz w:val="32"/>
        </w:rPr>
        <w:t>3.  Non-Discrimination</w:t>
      </w:r>
    </w:p>
    <w:p>
      <w:pPr>
        <w:keepNext/>
        <w:spacing w:before="0" w:after="200"/>
        <w:pBdr>
          <w:bottom w:val="single" w:sz="8" w:color="2E7D32"/>
        </w:pBdr>
      </w:pPr>
    </w:p>
    <w:p>
      <w:pPr>
        <w:spacing w:after="80"/>
      </w:pPr>
      <w:r>
        <w:rPr>
          <w:rFonts w:ascii="Calibri" w:hAnsi="Calibri"/>
          <w:b w:val="0"/>
          <w:i w:val="0"/>
          <w:color w:val="455A64"/>
          <w:sz w:val="20"/>
        </w:rPr>
        <w:t>We make all employment decisions based on qualifications, merit, and business needs. We comply with:</w:t>
      </w:r>
    </w:p>
    <w:p>
      <w:pPr>
        <w:pStyle w:val="ListBullet"/>
        <w:spacing w:after="60"/>
      </w:pPr>
      <w:r>
        <w:rPr>
          <w:rFonts w:ascii="Calibri" w:hAnsi="Calibri"/>
          <w:b w:val="0"/>
          <w:color w:val="455A64"/>
          <w:sz w:val="20"/>
        </w:rPr>
        <w:t>Title VII of the Civil Rights Act of 1964</w:t>
      </w:r>
    </w:p>
    <w:p>
      <w:pPr>
        <w:pStyle w:val="ListBullet"/>
        <w:spacing w:after="60"/>
      </w:pPr>
      <w:r>
        <w:rPr>
          <w:rFonts w:ascii="Calibri" w:hAnsi="Calibri"/>
          <w:b w:val="0"/>
          <w:color w:val="455A64"/>
          <w:sz w:val="20"/>
        </w:rPr>
        <w:t>Americans with Disabilities Act (ADA)</w:t>
      </w:r>
    </w:p>
    <w:p>
      <w:pPr>
        <w:pStyle w:val="ListBullet"/>
        <w:spacing w:after="60"/>
      </w:pPr>
      <w:r>
        <w:rPr>
          <w:rFonts w:ascii="Calibri" w:hAnsi="Calibri"/>
          <w:b w:val="0"/>
          <w:color w:val="455A64"/>
          <w:sz w:val="20"/>
        </w:rPr>
        <w:t>Age Discrimination in Employment Act (ADEA)</w:t>
      </w:r>
    </w:p>
    <w:p>
      <w:pPr>
        <w:pStyle w:val="ListBullet"/>
        <w:spacing w:after="60"/>
      </w:pPr>
      <w:r>
        <w:rPr>
          <w:rFonts w:ascii="Calibri" w:hAnsi="Calibri"/>
          <w:b w:val="0"/>
          <w:color w:val="455A64"/>
          <w:sz w:val="20"/>
        </w:rPr>
        <w:t>Equal Pay Act</w:t>
      </w:r>
    </w:p>
    <w:p>
      <w:pPr>
        <w:pStyle w:val="ListBullet"/>
        <w:spacing w:after="60"/>
      </w:pPr>
      <w:r>
        <w:rPr>
          <w:rFonts w:ascii="Calibri" w:hAnsi="Calibri"/>
          <w:b w:val="0"/>
          <w:color w:val="455A64"/>
          <w:sz w:val="20"/>
        </w:rPr>
        <w:t>Missouri Human Rights Act</w:t>
      </w:r>
    </w:p>
    <w:p>
      <w:pPr>
        <w:pStyle w:val="ListBullet"/>
        <w:spacing w:after="60"/>
      </w:pPr>
      <w:r>
        <w:rPr>
          <w:rFonts w:ascii="Calibri" w:hAnsi="Calibri"/>
          <w:b w:val="0"/>
          <w:color w:val="455A64"/>
          <w:sz w:val="20"/>
        </w:rPr>
        <w:t>All applicable state and local anti-discrimination laws</w:t>
      </w:r>
    </w:p>
    <w:p>
      <w:pPr>
        <w:keepNext/>
        <w:spacing w:before="160" w:after="80"/>
      </w:pPr>
      <w:r>
        <w:rPr>
          <w:rFonts w:ascii="Calibri" w:hAnsi="Calibri"/>
          <w:b/>
          <w:color w:val="2E7D32"/>
          <w:sz w:val="32"/>
        </w:rPr>
        <w:t>4.  Reasonable Accommodation</w:t>
      </w:r>
    </w:p>
    <w:p>
      <w:pPr>
        <w:keepNext/>
        <w:spacing w:before="0" w:after="200"/>
        <w:pBdr>
          <w:bottom w:val="single" w:sz="8" w:color="2E7D32"/>
        </w:pBdr>
      </w:pPr>
    </w:p>
    <w:p>
      <w:pPr>
        <w:spacing w:after="200"/>
      </w:pPr>
      <w:r>
        <w:rPr>
          <w:rFonts w:ascii="Calibri" w:hAnsi="Calibri"/>
          <w:b w:val="0"/>
          <w:i w:val="0"/>
          <w:color w:val="455A64"/>
          <w:sz w:val="20"/>
        </w:rPr>
        <w:t>We provide reasonable accommodations to qualified individuals with disabilities and to employees with sincerely held religious beliefs, unless doing so would impose an undue hardship on our operations. Employees needing accommodations should contact Kaitlyn Morris at kaitlyn@greencommllc.com.</w:t>
      </w:r>
    </w:p>
    <w:p>
      <w:pPr>
        <w:keepNext/>
        <w:spacing w:before="160" w:after="80"/>
      </w:pPr>
      <w:r>
        <w:rPr>
          <w:rFonts w:ascii="Calibri" w:hAnsi="Calibri"/>
          <w:b/>
          <w:color w:val="2E7D32"/>
          <w:sz w:val="32"/>
        </w:rPr>
        <w:t>5.  Anti-Harassment</w:t>
      </w:r>
    </w:p>
    <w:p>
      <w:pPr>
        <w:keepNext/>
        <w:spacing w:before="0" w:after="200"/>
        <w:pBdr>
          <w:bottom w:val="single" w:sz="8" w:color="2E7D32"/>
        </w:pBdr>
      </w:pPr>
    </w:p>
    <w:p>
      <w:pPr>
        <w:spacing w:after="80"/>
      </w:pPr>
      <w:r>
        <w:rPr>
          <w:rFonts w:ascii="Calibri" w:hAnsi="Calibri"/>
          <w:b w:val="0"/>
          <w:i w:val="0"/>
          <w:color w:val="455A64"/>
          <w:sz w:val="20"/>
        </w:rPr>
        <w:t>We prohibit harassment of any kind, including but not limited to:</w:t>
      </w:r>
    </w:p>
    <w:p>
      <w:pPr>
        <w:pStyle w:val="ListBullet"/>
        <w:spacing w:after="60"/>
      </w:pPr>
      <w:r>
        <w:rPr>
          <w:rFonts w:ascii="Calibri" w:hAnsi="Calibri"/>
          <w:b w:val="0"/>
          <w:color w:val="455A64"/>
          <w:sz w:val="20"/>
        </w:rPr>
        <w:t>Verbal harassment — slurs, derogatory comments, jokes, threats, or intimidation based on any protected characteristic.</w:t>
      </w:r>
    </w:p>
    <w:p>
      <w:pPr>
        <w:pStyle w:val="ListBullet"/>
        <w:spacing w:after="60"/>
      </w:pPr>
      <w:r>
        <w:rPr>
          <w:rFonts w:ascii="Calibri" w:hAnsi="Calibri"/>
          <w:b w:val="0"/>
          <w:color w:val="455A64"/>
          <w:sz w:val="20"/>
        </w:rPr>
        <w:t>Physical harassment — unwanted physical contact, blocking movement, or physical intimidation.</w:t>
      </w:r>
    </w:p>
    <w:p>
      <w:pPr>
        <w:pStyle w:val="ListBullet"/>
        <w:spacing w:after="60"/>
      </w:pPr>
      <w:r>
        <w:rPr>
          <w:rFonts w:ascii="Calibri" w:hAnsi="Calibri"/>
          <w:b w:val="0"/>
          <w:color w:val="455A64"/>
          <w:sz w:val="20"/>
        </w:rPr>
        <w:t>Visual harassment — offensive posters, drawings, cartoons, emails, or gestures.</w:t>
      </w:r>
    </w:p>
    <w:p>
      <w:pPr>
        <w:pStyle w:val="ListBullet"/>
        <w:spacing w:after="60"/>
      </w:pPr>
      <w:r>
        <w:rPr>
          <w:rFonts w:ascii="Calibri" w:hAnsi="Calibri"/>
          <w:b w:val="0"/>
          <w:color w:val="455A64"/>
          <w:sz w:val="20"/>
        </w:rPr>
        <w:t>Sexual harassment — unwelcome sexual advances, requests for sexual favors, or other verbal or physical conduct of a sexual nature.</w:t>
      </w:r>
    </w:p>
    <w:p>
      <w:pPr>
        <w:spacing w:after="200"/>
      </w:pPr>
      <w:r>
        <w:rPr>
          <w:rFonts w:ascii="Calibri" w:hAnsi="Calibri"/>
          <w:b w:val="0"/>
          <w:i w:val="0"/>
          <w:color w:val="455A64"/>
          <w:sz w:val="20"/>
        </w:rPr>
        <w:t>Harassment by any employee, supervisor, subcontractor, vendor, or third party on our project sites is strictly prohibited.</w:t>
      </w:r>
    </w:p>
    <w:p>
      <w:pPr>
        <w:keepNext/>
        <w:spacing w:before="160" w:after="80"/>
      </w:pPr>
      <w:r>
        <w:rPr>
          <w:rFonts w:ascii="Calibri" w:hAnsi="Calibri"/>
          <w:b/>
          <w:color w:val="2E7D32"/>
          <w:sz w:val="32"/>
        </w:rPr>
        <w:t>6.  Reporting</w:t>
      </w:r>
    </w:p>
    <w:p>
      <w:pPr>
        <w:keepNext/>
        <w:spacing w:before="0" w:after="200"/>
        <w:pBdr>
          <w:bottom w:val="single" w:sz="8" w:color="2E7D32"/>
        </w:pBdr>
      </w:pPr>
    </w:p>
    <w:p>
      <w:pPr>
        <w:spacing w:after="120"/>
      </w:pPr>
      <w:r>
        <w:rPr>
          <w:rFonts w:ascii="Calibri" w:hAnsi="Calibri"/>
          <w:b w:val="0"/>
          <w:i w:val="0"/>
          <w:color w:val="455A64"/>
          <w:sz w:val="20"/>
        </w:rPr>
        <w:t>Any employee or individual who experiences or witnesses harassment or discrimination should report it immediately to Kaitlyn Morris, CEO — kaitlyn@greencommllc.com  ·  (636) 224-8192.</w:t>
      </w:r>
    </w:p>
    <w:p>
      <w:pPr>
        <w:spacing w:after="200"/>
      </w:pPr>
      <w:r>
        <w:rPr>
          <w:rFonts w:ascii="Calibri" w:hAnsi="Calibri"/>
          <w:b w:val="0"/>
          <w:i w:val="0"/>
          <w:color w:val="455A64"/>
          <w:sz w:val="20"/>
        </w:rPr>
        <w:t>Reports may be made verbally or in writing. We accept anonymous reports, though anonymity may limit our ability to investigate fully.</w:t>
      </w:r>
    </w:p>
    <w:p>
      <w:pPr>
        <w:keepNext/>
        <w:spacing w:before="160" w:after="80"/>
      </w:pPr>
      <w:r>
        <w:rPr>
          <w:rFonts w:ascii="Calibri" w:hAnsi="Calibri"/>
          <w:b/>
          <w:color w:val="2E7D32"/>
          <w:sz w:val="32"/>
        </w:rPr>
        <w:t>7.  Investigation</w:t>
      </w:r>
    </w:p>
    <w:p>
      <w:pPr>
        <w:keepNext/>
        <w:spacing w:before="0" w:after="200"/>
        <w:pBdr>
          <w:bottom w:val="single" w:sz="8" w:color="2E7D32"/>
        </w:pBdr>
      </w:pPr>
    </w:p>
    <w:p>
      <w:pPr>
        <w:spacing w:after="200"/>
      </w:pPr>
      <w:r>
        <w:rPr>
          <w:rFonts w:ascii="Calibri" w:hAnsi="Calibri"/>
          <w:b w:val="0"/>
          <w:i w:val="0"/>
          <w:color w:val="455A64"/>
          <w:sz w:val="20"/>
        </w:rPr>
        <w:t>We investigate all reports of harassment or discrimination promptly, thoroughly, and impartially. We take appropriate corrective action when a violation is confirmed. All parties involved are treated with dignity and respect throughout the process.</w:t>
      </w:r>
    </w:p>
    <w:p>
      <w:pPr>
        <w:keepNext/>
        <w:spacing w:before="160" w:after="80"/>
      </w:pPr>
      <w:r>
        <w:rPr>
          <w:rFonts w:ascii="Calibri" w:hAnsi="Calibri"/>
          <w:b/>
          <w:color w:val="2E7D32"/>
          <w:sz w:val="32"/>
        </w:rPr>
        <w:t>8.  Confidentiality</w:t>
      </w:r>
    </w:p>
    <w:p>
      <w:pPr>
        <w:keepNext/>
        <w:spacing w:before="0" w:after="200"/>
        <w:pBdr>
          <w:bottom w:val="single" w:sz="8" w:color="2E7D32"/>
        </w:pBdr>
      </w:pPr>
    </w:p>
    <w:p>
      <w:pPr>
        <w:spacing w:after="200"/>
      </w:pPr>
      <w:r>
        <w:rPr>
          <w:rFonts w:ascii="Calibri" w:hAnsi="Calibri"/>
          <w:b w:val="0"/>
          <w:i w:val="0"/>
          <w:color w:val="455A64"/>
          <w:sz w:val="20"/>
        </w:rPr>
        <w:t>We keep all reports and investigation details as confidential as possible, sharing information only with those who need to know to conduct the investigation or implement corrective action.</w:t>
      </w:r>
    </w:p>
    <w:p>
      <w:pPr>
        <w:keepNext/>
        <w:spacing w:before="160" w:after="80"/>
      </w:pPr>
      <w:r>
        <w:rPr>
          <w:rFonts w:ascii="Calibri" w:hAnsi="Calibri"/>
          <w:b/>
          <w:color w:val="2E7D32"/>
          <w:sz w:val="32"/>
        </w:rPr>
        <w:t>9.  No Retaliation</w:t>
      </w:r>
    </w:p>
    <w:p>
      <w:pPr>
        <w:keepNext/>
        <w:spacing w:before="0" w:after="200"/>
        <w:pBdr>
          <w:bottom w:val="single" w:sz="8" w:color="2E7D32"/>
        </w:pBdr>
      </w:pPr>
    </w:p>
    <w:p>
      <w:pPr>
        <w:spacing w:after="200"/>
      </w:pPr>
      <w:r>
        <w:rPr>
          <w:rFonts w:ascii="Calibri" w:hAnsi="Calibri"/>
          <w:b w:val="0"/>
          <w:i w:val="0"/>
          <w:color w:val="455A64"/>
          <w:sz w:val="20"/>
        </w:rPr>
        <w:t>We strictly prohibit retaliation against anyone who reports harassment or discrimination, participates in an investigation, or opposes discriminatory practices. Retaliation is a separate violation of this policy and will result in disciplinary action up to and including termination.</w:t>
      </w:r>
    </w:p>
    <w:p>
      <w:pPr>
        <w:keepNext/>
        <w:spacing w:before="160" w:after="80"/>
      </w:pPr>
      <w:r>
        <w:rPr>
          <w:rFonts w:ascii="Calibri" w:hAnsi="Calibri"/>
          <w:b/>
          <w:color w:val="2E7D32"/>
          <w:sz w:val="32"/>
        </w:rPr>
        <w:t>10.  Consequences</w:t>
      </w:r>
    </w:p>
    <w:p>
      <w:pPr>
        <w:keepNext/>
        <w:spacing w:before="0" w:after="200"/>
        <w:pBdr>
          <w:bottom w:val="single" w:sz="8" w:color="2E7D32"/>
        </w:pBdr>
      </w:pPr>
    </w:p>
    <w:p>
      <w:pPr>
        <w:spacing w:after="200"/>
      </w:pPr>
      <w:r>
        <w:rPr>
          <w:rFonts w:ascii="Calibri" w:hAnsi="Calibri"/>
          <w:b w:val="0"/>
          <w:i w:val="0"/>
          <w:color w:val="455A64"/>
          <w:sz w:val="20"/>
        </w:rPr>
        <w:t>Employees who violate this policy are subject to disciplinary action up to and including termination. Subcontractors or vendors who violate this policy may be removed from our project sites and barred from future work with us.</w:t>
      </w:r>
    </w:p>
    <w:p>
      <w:pPr>
        <w:keepNext/>
        <w:spacing w:before="160" w:after="80"/>
      </w:pPr>
      <w:r>
        <w:rPr>
          <w:rFonts w:ascii="Calibri" w:hAnsi="Calibri"/>
          <w:b/>
          <w:color w:val="2E7D32"/>
          <w:sz w:val="32"/>
        </w:rPr>
        <w:t>11.  Training</w:t>
      </w:r>
    </w:p>
    <w:p>
      <w:pPr>
        <w:keepNext/>
        <w:spacing w:before="0" w:after="200"/>
        <w:pBdr>
          <w:bottom w:val="single" w:sz="8" w:color="2E7D32"/>
        </w:pBdr>
      </w:pPr>
    </w:p>
    <w:p>
      <w:pPr>
        <w:spacing w:after="200"/>
      </w:pPr>
      <w:r>
        <w:rPr>
          <w:rFonts w:ascii="Calibri" w:hAnsi="Calibri"/>
          <w:b w:val="0"/>
          <w:i w:val="0"/>
          <w:color w:val="455A64"/>
          <w:sz w:val="20"/>
        </w:rPr>
        <w:t>We provide anti-harassment and EEO training to all employees at hire and on an ongoing basis. We maintain records of all training completed.</w:t>
      </w:r>
    </w:p>
    <w:p>
      <w:pPr>
        <w:keepNext/>
        <w:spacing w:before="160" w:after="80"/>
      </w:pPr>
      <w:r>
        <w:rPr>
          <w:rFonts w:ascii="Calibri" w:hAnsi="Calibri"/>
          <w:b/>
          <w:color w:val="2E7D32"/>
          <w:sz w:val="32"/>
        </w:rPr>
        <w:t>12.  External Resources</w:t>
      </w:r>
    </w:p>
    <w:p>
      <w:pPr>
        <w:keepNext/>
        <w:spacing w:before="0" w:after="200"/>
        <w:pBdr>
          <w:bottom w:val="single" w:sz="8" w:color="2E7D32"/>
        </w:pBdr>
      </w:pPr>
    </w:p>
    <w:p>
      <w:pPr>
        <w:spacing w:after="80"/>
      </w:pPr>
      <w:r>
        <w:rPr>
          <w:rFonts w:ascii="Calibri" w:hAnsi="Calibri"/>
          <w:b w:val="0"/>
          <w:i w:val="0"/>
          <w:color w:val="455A64"/>
          <w:sz w:val="20"/>
        </w:rPr>
        <w:t>Employees may also file complaints with:</w:t>
      </w:r>
    </w:p>
    <w:p>
      <w:pPr>
        <w:pStyle w:val="ListBullet"/>
        <w:spacing w:after="60"/>
      </w:pPr>
      <w:r>
        <w:rPr>
          <w:rFonts w:ascii="Calibri" w:hAnsi="Calibri"/>
          <w:b w:val="0"/>
          <w:color w:val="455A64"/>
          <w:sz w:val="20"/>
        </w:rPr>
        <w:t>EEOC — www.eeoc.gov  ·  1-800-669-4000</w:t>
      </w:r>
    </w:p>
    <w:p>
      <w:pPr>
        <w:pStyle w:val="ListBullet"/>
        <w:spacing w:after="60"/>
      </w:pPr>
      <w:r>
        <w:rPr>
          <w:rFonts w:ascii="Calibri" w:hAnsi="Calibri"/>
          <w:b w:val="0"/>
          <w:color w:val="455A64"/>
          <w:sz w:val="20"/>
        </w:rPr>
        <w:t>Missouri Commission on Human Rights — www.labor.mo.gov/mohumanrights</w:t>
      </w:r>
    </w:p>
    <w:p>
      <w:pPr>
        <w:spacing w:before="280" w:after="80"/>
      </w:pPr>
    </w:p>
    <w:p>
      <w:pPr>
        <w:pBdr>
          <w:bottom w:val="single" w:sz="12" w:color="2E7D32"/>
        </w:pBdr>
      </w:pPr>
    </w:p>
    <w:p>
      <w:pPr>
        <w:spacing w:after="0"/>
        <w:jc w:val="center"/>
      </w:pPr>
      <w:r>
        <w:rPr>
          <w:rFonts w:ascii="Calibri" w:hAnsi="Calibri"/>
          <w:b w:val="0"/>
          <w:i/>
          <w:color w:val="455A64"/>
          <w:sz w:val="18"/>
        </w:rPr>
        <w:t>Prepared by: GCC Estimating Department  ·  Contact: kaitlyn@greencommllc.com  ·  (636) 224-8192</w:t>
      </w:r>
    </w:p>
    <w:sectPr w:rsidR="00FC693F" w:rsidRPr="0006063C" w:rsidSect="00034616">
      <w:headerReference w:type="default" r:id="rId9"/>
      <w:footerReference w:type="default" r:id="rId10"/>
      <w:pgSz w:w="12240" w:h="15840"/>
      <w:pgMar w:top="1296" w:right="1080" w:bottom="1152"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7920"/>
      <w:gridCol w:w="2160"/>
    </w:tblGrid>
    <w:tr>
      <w:tc>
        <w:tcPr>
          <w:tcW w:type="dxa" w:w="5040"/>
          <w:tcBorders>
            <w:top w:val="nil"/>
            <w:left w:val="nil"/>
            <w:bottom w:val="nil"/>
            <w:right w:val="nil"/>
          </w:tcBorders>
        </w:tcPr>
        <w:p>
          <w:pPr>
            <w:jc w:val="left"/>
          </w:pPr>
          <w:r>
            <w:rPr>
              <w:rFonts w:ascii="Calibri" w:hAnsi="Calibri"/>
              <w:i/>
              <w:color w:val="455A64"/>
              <w:sz w:val="16"/>
            </w:rPr>
            <w:t>GCC LLC   ·   Proprietary &amp; Confidential   ·   Licensed &amp; Insured   ·   KCMO &amp; STL</w:t>
          </w:r>
        </w:p>
      </w:tc>
      <w:tc>
        <w:tcPr>
          <w:tcW w:type="dxa" w:w="5040"/>
          <w:tcBorders>
            <w:top w:val="nil"/>
            <w:left w:val="nil"/>
            <w:bottom w:val="nil"/>
            <w:right w:val="nil"/>
          </w:tcBorders>
        </w:tcPr>
        <w:p>
          <w:pPr>
            <w:jc w:val="right"/>
          </w:pPr>
          <w:r>
            <w:rPr>
              <w:rFonts w:ascii="Calibri" w:hAnsi="Calibri"/>
              <w:color w:val="455A64"/>
              <w:sz w:val="16"/>
            </w:rPr>
            <w:t xml:space="preserve">Page </w:t>
          </w:r>
          <w:r>
            <w:rPr>
              <w:rFonts w:ascii="Calibri" w:hAnsi="Calibri"/>
              <w:color w:val="455A64"/>
              <w:sz w:val="16"/>
            </w:rPr>
            <w:fldChar w:fldCharType="begin"/>
            <w:instrText xml:space="preserve">PAGE</w:instrText>
            <w:fldChar w:fldCharType="end"/>
          </w:r>
          <w:r>
            <w:rPr>
              <w:rFonts w:ascii="Calibri" w:hAnsi="Calibri"/>
              <w:color w:val="455A64"/>
              <w:sz w:val="16"/>
            </w:rPr>
            <w:t xml:space="preserve"> of </w:t>
          </w:r>
          <w:r>
            <w:rPr>
              <w:rFonts w:ascii="Calibri" w:hAnsi="Calibri"/>
              <w:color w:val="455A64"/>
              <w:sz w:val="16"/>
            </w:rP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5616"/>
      <w:gridCol w:w="4320"/>
    </w:tblGrid>
    <w:tr>
      <w:tc>
        <w:tcPr>
          <w:tcW w:type="dxa" w:w="5616"/>
          <w:tcBorders>
            <w:top w:val="nil"/>
            <w:left w:val="nil"/>
            <w:bottom w:val="nil"/>
            <w:right w:val="nil"/>
          </w:tcBorders>
        </w:tcPr>
        <w:p>
          <w:pPr>
            <w:jc w:val="left"/>
          </w:pPr>
          <w:r>
            <w:drawing>
              <wp:inline xmlns:a="http://schemas.openxmlformats.org/drawingml/2006/main" xmlns:pic="http://schemas.openxmlformats.org/drawingml/2006/picture">
                <wp:extent cx="548640" cy="548640"/>
                <wp:docPr id="1" name="Picture 1"/>
                <wp:cNvGraphicFramePr>
                  <a:graphicFrameLocks noChangeAspect="1"/>
                </wp:cNvGraphicFramePr>
                <a:graphic>
                  <a:graphicData uri="http://schemas.openxmlformats.org/drawingml/2006/picture">
                    <pic:pic>
                      <pic:nvPicPr>
                        <pic:cNvPr id="0" name="gcc logo only.png"/>
                        <pic:cNvPicPr/>
                      </pic:nvPicPr>
                      <pic:blipFill>
                        <a:blip r:embed="rId1"/>
                        <a:stretch>
                          <a:fillRect/>
                        </a:stretch>
                      </pic:blipFill>
                      <pic:spPr>
                        <a:xfrm>
                          <a:off x="0" y="0"/>
                          <a:ext cx="548640" cy="548640"/>
                        </a:xfrm>
                        <a:prstGeom prst="rect"/>
                      </pic:spPr>
                    </pic:pic>
                  </a:graphicData>
                </a:graphic>
              </wp:inline>
            </w:drawing>
          </w:r>
        </w:p>
      </w:tc>
      <w:tc>
        <w:tcPr>
          <w:tcW w:type="dxa" w:w="4320"/>
          <w:tcBorders>
            <w:top w:val="nil"/>
            <w:left w:val="nil"/>
            <w:bottom w:val="nil"/>
            <w:right w:val="nil"/>
          </w:tcBorders>
        </w:tcPr>
        <w:p/>
      </w:tc>
    </w:tr>
  </w:tbl>
  <w:p>
    <w:pPr>
      <w:spacing w:before="80" w:after="0"/>
      <w:pBdr>
        <w:bottom w:val="single" w:sz="12" w:color="2E7D32"/>
      </w:pBdr>
    </w:pPr>
  </w:p>
  <w:p>
    <w:pPr>
      <w:jc w:val="right"/>
    </w:pPr>
    <w:r>
      <w:rPr>
        <w:rFonts w:ascii="Calibri" w:hAnsi="Calibri"/>
        <w:i/>
        <w:color w:val="2E7D32"/>
        <w:sz w:val="18"/>
      </w:rPr>
      <w:t>Low-Voltage Div 27/28 Contractor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