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2E7D32"/>
          <w:sz w:val="36"/>
        </w:rPr>
        <w:t>EMR Status Letter</w:t>
      </w:r>
    </w:p>
    <w:p>
      <w:pPr>
        <w:pBdr>
          <w:bottom w:val="single" w:sz="12" w:color="2E7D32"/>
        </w:pBdr>
      </w:pPr>
    </w:p>
    <w:p>
      <w:pPr>
        <w:spacing w:after="200"/>
      </w:pPr>
      <w:r>
        <w:rPr>
          <w:rFonts w:ascii="Calibri" w:hAnsi="Calibri"/>
          <w:b w:val="0"/>
          <w:i w:val="0"/>
          <w:color w:val="455A64"/>
          <w:sz w:val="20"/>
        </w:rPr>
        <w:t>To Whom It May Concern:</w:t>
      </w:r>
    </w:p>
    <w:p>
      <w:pPr>
        <w:spacing w:after="160"/>
      </w:pPr>
      <w:r>
        <w:rPr>
          <w:rFonts w:ascii="Calibri" w:hAnsi="Calibri"/>
          <w:b w:val="0"/>
          <w:i w:val="0"/>
          <w:color w:val="455A64"/>
          <w:sz w:val="20"/>
        </w:rPr>
        <w:t>We formed Green Communications Contracting LLC on February 25, 2026, and have been operating as a Division 27/28 low-voltage contractor in the Kansas City and St. Louis metro areas since that date.</w:t>
      </w:r>
    </w:p>
    <w:p>
      <w:pPr>
        <w:spacing w:after="240"/>
      </w:pPr>
      <w:r>
        <w:rPr>
          <w:rFonts w:ascii="Calibri" w:hAnsi="Calibri"/>
          <w:b w:val="0"/>
          <w:i w:val="0"/>
          <w:color w:val="455A64"/>
          <w:sz w:val="20"/>
        </w:rPr>
        <w:t>Because we were formed less than three years ago, we do not yet have an Experience Modification Rate (EMR) assigned by NCCI. An EMR is typically assigned after a company has three full years of workers' compensation loss history.</w:t>
      </w:r>
    </w:p>
    <w:p>
      <w:pPr>
        <w:keepNext/>
        <w:spacing w:before="160" w:after="80"/>
      </w:pPr>
      <w:r>
        <w:rPr>
          <w:rFonts w:ascii="Calibri" w:hAnsi="Calibri"/>
          <w:b/>
          <w:color w:val="2E7D32"/>
          <w:sz w:val="32"/>
        </w:rPr>
        <w:t>Safety Record Since Formation</w:t>
      </w:r>
    </w:p>
    <w:p>
      <w:pPr>
        <w:keepNext/>
        <w:spacing w:before="0" w:after="200"/>
        <w:pBdr>
          <w:bottom w:val="single" w:sz="8" w:color="2E7D32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032"/>
        <w:gridCol w:w="5904"/>
      </w:tblGrid>
      <w:tr>
        <w:trPr>
          <w:cantSplit/>
          <w:tblHeader/>
        </w:trPr>
        <w:tc>
          <w:tcPr>
            <w:tcW w:type="dxa" w:w="4032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5904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4032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Recordable Incidents</w:t>
            </w:r>
          </w:p>
        </w:tc>
        <w:tc>
          <w:tcPr>
            <w:tcW w:type="dxa" w:w="5904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Zero</w:t>
            </w:r>
          </w:p>
        </w:tc>
      </w:tr>
      <w:tr>
        <w:trPr>
          <w:cantSplit/>
        </w:trPr>
        <w:tc>
          <w:tcPr>
            <w:tcW w:type="dxa" w:w="40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Lost-Time Incidents</w:t>
            </w:r>
          </w:p>
        </w:tc>
        <w:tc>
          <w:tcPr>
            <w:tcW w:type="dxa" w:w="5904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Zero</w:t>
            </w:r>
          </w:p>
        </w:tc>
      </w:tr>
      <w:tr>
        <w:trPr>
          <w:cantSplit/>
        </w:trPr>
        <w:tc>
          <w:tcPr>
            <w:tcW w:type="dxa" w:w="4032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OSHA Citations</w:t>
            </w:r>
          </w:p>
        </w:tc>
        <w:tc>
          <w:tcPr>
            <w:tcW w:type="dxa" w:w="5904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Zero</w:t>
            </w:r>
          </w:p>
        </w:tc>
      </w:tr>
      <w:tr>
        <w:trPr>
          <w:cantSplit/>
        </w:trPr>
        <w:tc>
          <w:tcPr>
            <w:tcW w:type="dxa" w:w="40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Workers' Comp Claims</w:t>
            </w:r>
          </w:p>
        </w:tc>
        <w:tc>
          <w:tcPr>
            <w:tcW w:type="dxa" w:w="5904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Zero</w:t>
            </w:r>
          </w:p>
        </w:tc>
      </w:tr>
      <w:tr>
        <w:trPr>
          <w:cantSplit/>
        </w:trPr>
        <w:tc>
          <w:tcPr>
            <w:tcW w:type="dxa" w:w="4032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Drug / Alcohol Violations</w:t>
            </w:r>
          </w:p>
        </w:tc>
        <w:tc>
          <w:tcPr>
            <w:tcW w:type="dxa" w:w="5904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Zero</w:t>
            </w:r>
          </w:p>
        </w:tc>
      </w:tr>
    </w:tbl>
    <w:p>
      <w:pPr>
        <w:spacing w:after="120"/>
      </w:pPr>
    </w:p>
    <w:p>
      <w:pPr>
        <w:keepNext/>
        <w:spacing w:before="160" w:after="80"/>
      </w:pPr>
      <w:r>
        <w:rPr>
          <w:rFonts w:ascii="Calibri" w:hAnsi="Calibri"/>
          <w:b/>
          <w:color w:val="2E7D32"/>
          <w:sz w:val="32"/>
        </w:rPr>
        <w:t>Safety Program</w:t>
      </w:r>
    </w:p>
    <w:p>
      <w:pPr>
        <w:keepNext/>
        <w:spacing w:before="0" w:after="200"/>
        <w:pBdr>
          <w:bottom w:val="single" w:sz="8" w:color="2E7D32"/>
        </w:pBdr>
      </w:pP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Written Safety Program on file (provided on request).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OSHA 10-Hour certification for all field personnel.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OSHA 30-Hour certification for all field supervisors.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First Aid / CPR certification for all field personnel.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10-panel drug screening (pre-employment and random).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Daily toolbox talks and site-specific hazard assessments.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Stop-work authority for all crew members.</w:t>
      </w:r>
    </w:p>
    <w:p>
      <w:pPr>
        <w:keepNext/>
        <w:spacing w:before="160" w:after="80"/>
      </w:pPr>
      <w:r>
        <w:rPr>
          <w:rFonts w:ascii="Calibri" w:hAnsi="Calibri"/>
          <w:b/>
          <w:color w:val="2E7D32"/>
          <w:sz w:val="32"/>
        </w:rPr>
        <w:t>Insurance</w:t>
      </w:r>
    </w:p>
    <w:p>
      <w:pPr>
        <w:keepNext/>
        <w:spacing w:before="0" w:after="200"/>
        <w:pBdr>
          <w:bottom w:val="single" w:sz="8" w:color="2E7D32"/>
        </w:pBdr>
      </w:pPr>
    </w:p>
    <w:p>
      <w:pPr>
        <w:spacing w:after="240"/>
      </w:pPr>
      <w:r>
        <w:rPr>
          <w:rFonts w:ascii="Calibri" w:hAnsi="Calibri"/>
          <w:b w:val="0"/>
          <w:i w:val="0"/>
          <w:color w:val="455A64"/>
          <w:sz w:val="20"/>
        </w:rPr>
        <w:t>We carry Workers' Compensation insurance at statutory limits with $1,000,000 per-accident employer's liability.</w:t>
      </w:r>
    </w:p>
    <w:p>
      <w:pPr>
        <w:spacing w:after="360"/>
      </w:pPr>
      <w:r>
        <w:rPr>
          <w:rFonts w:ascii="Calibri" w:hAnsi="Calibri"/>
          <w:b w:val="0"/>
          <w:i w:val="0"/>
          <w:color w:val="455A64"/>
          <w:sz w:val="20"/>
        </w:rPr>
        <w:t>We anticipate receiving our first EMR rating in 2029. Until then, we provide this letter along with our insurance certificates and safety program documentation to demonstrate our commitment to workplace safety.</w:t>
      </w:r>
    </w:p>
    <w:p>
      <w:pPr>
        <w:spacing w:after="160"/>
      </w:pPr>
    </w:p>
    <w:p>
      <w:pPr>
        <w:spacing w:after="360"/>
      </w:pPr>
      <w:r>
        <w:rPr>
          <w:rFonts w:ascii="Calibri" w:hAnsi="Calibri"/>
          <w:b w:val="0"/>
          <w:i w:val="0"/>
          <w:color w:val="455A64"/>
          <w:sz w:val="20"/>
        </w:rPr>
        <w:t>Sincerely,</w:t>
      </w:r>
    </w:p>
    <w:p>
      <w:pPr>
        <w:spacing w:after="0"/>
      </w:pPr>
      <w:r>
        <w:rPr>
          <w:rFonts w:ascii="Calibri" w:hAnsi="Calibri"/>
          <w:b/>
          <w:i w:val="0"/>
          <w:color w:val="2E7D32"/>
          <w:sz w:val="22"/>
        </w:rPr>
        <w:t>Kaitlyn Morris</w:t>
      </w:r>
    </w:p>
    <w:p>
      <w:pPr>
        <w:spacing w:after="0"/>
      </w:pPr>
      <w:r>
        <w:rPr>
          <w:rFonts w:ascii="Calibri" w:hAnsi="Calibri"/>
          <w:b w:val="0"/>
          <w:i w:val="0"/>
          <w:color w:val="455A64"/>
          <w:sz w:val="20"/>
        </w:rPr>
        <w:t>CEO — Green Communications Contracting LLC</w:t>
      </w:r>
    </w:p>
    <w:p>
      <w:pPr>
        <w:spacing w:after="0"/>
      </w:pPr>
      <w:r>
        <w:rPr>
          <w:rFonts w:ascii="Calibri" w:hAnsi="Calibri"/>
          <w:b w:val="0"/>
          <w:i w:val="0"/>
          <w:color w:val="455A64"/>
          <w:sz w:val="18"/>
        </w:rPr>
        <w:t>kaitlyn@greencommllc.com  ·  (636) 224-8192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576" w:right="1080" w:bottom="1152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7920"/>
      <w:gridCol w:w="2160"/>
    </w:tblGrid>
    <w:tr>
      <w:tc>
        <w:tcPr>
          <w:tcW w:type="dxa" w:w="5040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i/>
              <w:color w:val="455A64"/>
              <w:sz w:val="16"/>
            </w:rPr>
            <w:t>GCC LLC   ·   Proprietary &amp; Confidential   ·   Licensed &amp; Insured   ·   KCMO &amp; STL</w:t>
          </w:r>
        </w:p>
      </w:tc>
      <w:tc>
        <w:tcPr>
          <w:tcW w:type="dxa" w:w="5040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Calibri" w:hAnsi="Calibri"/>
              <w:color w:val="455A64"/>
              <w:sz w:val="16"/>
            </w:rPr>
            <w:t xml:space="preserve">Page </w:t>
          </w:r>
          <w:r>
            <w:rPr>
              <w:rFonts w:ascii="Calibri" w:hAnsi="Calibri"/>
              <w:color w:val="455A64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rFonts w:ascii="Calibri" w:hAnsi="Calibri"/>
              <w:color w:val="455A64"/>
              <w:sz w:val="16"/>
            </w:rPr>
            <w:t xml:space="preserve"> of </w:t>
          </w:r>
          <w:r>
            <w:rPr>
              <w:rFonts w:ascii="Calibri" w:hAnsi="Calibri"/>
              <w:color w:val="455A64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5616"/>
      <w:gridCol w:w="4320"/>
    </w:tblGrid>
    <w:tr>
      <w:tc>
        <w:tcPr>
          <w:tcW w:type="dxa" w:w="5616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828800" cy="18288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gcc logo with name and cont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18288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320"/>
          <w:tcBorders>
            <w:top w:val="nil"/>
            <w:left w:val="nil"/>
            <w:bottom w:val="nil"/>
            <w:right w:val="nil"/>
          </w:tcBorders>
        </w:tcPr>
        <w:p/>
      </w:tc>
    </w:tr>
  </w:tbl>
  <w:p>
    <w:pPr>
      <w:spacing w:before="80" w:after="0"/>
      <w:pBdr>
        <w:bottom w:val="single" w:sz="12" w:color="2E7D32"/>
      </w:pBdr>
    </w:pPr>
  </w:p>
  <w:p>
    <w:pPr>
      <w:jc w:val="right"/>
    </w:pPr>
    <w:r>
      <w:rPr>
        <w:rFonts w:ascii="Calibri" w:hAnsi="Calibri"/>
        <w:i/>
        <w:color w:val="2E7D32"/>
        <w:sz w:val="18"/>
      </w:rPr>
      <w:t>Low-Voltage Div 27/28 Contractor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