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2E7D32"/>
          <w:sz w:val="40"/>
        </w:rPr>
        <w:t>Prequalification Form</w:t>
      </w:r>
    </w:p>
    <w:p>
      <w:pPr>
        <w:spacing w:after="200"/>
        <w:jc w:val="center"/>
      </w:pPr>
      <w:r>
        <w:rPr>
          <w:rFonts w:ascii="Calibri" w:hAnsi="Calibri"/>
          <w:i/>
          <w:color w:val="455A64"/>
          <w:sz w:val="22"/>
        </w:rPr>
        <w:t>Green Communications Contracting LLC</w:t>
      </w:r>
    </w:p>
    <w:p>
      <w:pPr>
        <w:pBdr>
          <w:bottom w:val="single" w:sz="12" w:color="2E7D32"/>
        </w:pBdr>
      </w:pP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1.  Company Information</w:t>
      </w:r>
    </w:p>
    <w:p>
      <w:pPr>
        <w:keepNext/>
        <w:spacing w:before="0" w:after="200"/>
        <w:pBdr>
          <w:bottom w:val="single" w:sz="8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7200"/>
      </w:tblGrid>
      <w:tr>
        <w:trPr>
          <w:cantSplit/>
          <w:tblHeader/>
        </w:trPr>
        <w:tc>
          <w:tcPr>
            <w:tcW w:type="dxa" w:w="2736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20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Legal Name</w:t>
            </w:r>
          </w:p>
        </w:tc>
        <w:tc>
          <w:tcPr>
            <w:tcW w:type="dxa" w:w="720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Green Communications Contracting LLC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DBA</w:t>
            </w:r>
          </w:p>
        </w:tc>
        <w:tc>
          <w:tcPr>
            <w:tcW w:type="dxa" w:w="720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GCC LLC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Address</w:t>
            </w:r>
          </w:p>
        </w:tc>
        <w:tc>
          <w:tcPr>
            <w:tcW w:type="dxa" w:w="720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603 Seib Dr, O'Fallon, MO 63366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Phone</w:t>
            </w:r>
          </w:p>
        </w:tc>
        <w:tc>
          <w:tcPr>
            <w:tcW w:type="dxa" w:w="720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(636) 224-8192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Email</w:t>
            </w:r>
          </w:p>
        </w:tc>
        <w:tc>
          <w:tcPr>
            <w:tcW w:type="dxa" w:w="720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kaitlyn@greencommllc.com  ·  info@greencommllc.com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Website</w:t>
            </w:r>
          </w:p>
        </w:tc>
        <w:tc>
          <w:tcPr>
            <w:tcW w:type="dxa" w:w="720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greencommllc.com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Entity Type</w:t>
            </w:r>
          </w:p>
        </w:tc>
        <w:tc>
          <w:tcPr>
            <w:tcW w:type="dxa" w:w="720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Missouri LLC (Manager-Managed)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Date Formed</w:t>
            </w:r>
          </w:p>
        </w:tc>
        <w:tc>
          <w:tcPr>
            <w:tcW w:type="dxa" w:w="720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February 25, 2026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State of Formation</w:t>
            </w:r>
          </w:p>
        </w:tc>
        <w:tc>
          <w:tcPr>
            <w:tcW w:type="dxa" w:w="720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Missouri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Federal Tax ID</w:t>
            </w:r>
          </w:p>
        </w:tc>
        <w:tc>
          <w:tcPr>
            <w:tcW w:type="dxa" w:w="720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{{EIN}}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DUNS Number</w:t>
            </w:r>
          </w:p>
        </w:tc>
        <w:tc>
          <w:tcPr>
            <w:tcW w:type="dxa" w:w="720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Pending</w:t>
            </w:r>
          </w:p>
        </w:tc>
      </w:tr>
    </w:tbl>
    <w:p>
      <w:pPr>
        <w:spacing w:after="120"/>
      </w:pP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2.  Ownership &amp; Officers</w:t>
      </w:r>
    </w:p>
    <w:p>
      <w:pPr>
        <w:keepNext/>
        <w:spacing w:before="0" w:after="200"/>
        <w:pBdr>
          <w:bottom w:val="single" w:sz="8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4896"/>
        <w:gridCol w:w="2016"/>
      </w:tblGrid>
      <w:tr>
        <w:trPr>
          <w:cantSplit/>
          <w:tblHeader/>
        </w:trPr>
        <w:tc>
          <w:tcPr>
            <w:tcW w:type="dxa" w:w="3024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4896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016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Ownership %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Kaitlyn Morris</w:t>
            </w:r>
          </w:p>
        </w:tc>
        <w:tc>
          <w:tcPr>
            <w:tcW w:type="dxa" w:w="489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CEO / Managing Member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90%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Chadwick Group LLC</w:t>
            </w:r>
          </w:p>
        </w:tc>
        <w:tc>
          <w:tcPr>
            <w:tcW w:type="dxa" w:w="489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Minority Member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10%</w:t>
            </w:r>
          </w:p>
        </w:tc>
      </w:tr>
    </w:tbl>
    <w:p>
      <w:pPr>
        <w:spacing w:after="120"/>
      </w:pP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3.  Certifications &amp; Registrations</w:t>
      </w:r>
    </w:p>
    <w:p>
      <w:pPr>
        <w:keepNext/>
        <w:spacing w:before="0" w:after="200"/>
        <w:pBdr>
          <w:bottom w:val="single" w:sz="8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6336"/>
      </w:tblGrid>
      <w:tr>
        <w:trPr>
          <w:cantSplit/>
          <w:tblHeader/>
        </w:trPr>
        <w:tc>
          <w:tcPr>
            <w:tcW w:type="dxa" w:w="360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336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Missouri LLC — Active</w:t>
            </w:r>
          </w:p>
        </w:tc>
        <w:tc>
          <w:tcPr>
            <w:tcW w:type="dxa" w:w="63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Certificate of Organization LC014709899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SAM.gov Registration</w:t>
            </w:r>
          </w:p>
        </w:tc>
        <w:tc>
          <w:tcPr>
            <w:tcW w:type="dxa" w:w="633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Pending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Certifications Held</w:t>
            </w:r>
          </w:p>
        </w:tc>
        <w:tc>
          <w:tcPr>
            <w:tcW w:type="dxa" w:w="63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None currently held</w:t>
            </w:r>
          </w:p>
        </w:tc>
      </w:tr>
    </w:tbl>
    <w:p>
      <w:pPr>
        <w:spacing w:after="120"/>
      </w:pP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4.  Insurance Summary</w:t>
      </w:r>
    </w:p>
    <w:p>
      <w:pPr>
        <w:keepNext/>
        <w:spacing w:before="0" w:after="200"/>
        <w:pBdr>
          <w:bottom w:val="single" w:sz="8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6336"/>
      </w:tblGrid>
      <w:tr>
        <w:trPr>
          <w:cantSplit/>
          <w:tblHeader/>
        </w:trPr>
        <w:tc>
          <w:tcPr>
            <w:tcW w:type="dxa" w:w="360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6336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Limits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Workers' Compensation</w:t>
            </w:r>
          </w:p>
        </w:tc>
        <w:tc>
          <w:tcPr>
            <w:tcW w:type="dxa" w:w="63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Statutory, $1M per accident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Commercial General Liability</w:t>
            </w:r>
          </w:p>
        </w:tc>
        <w:tc>
          <w:tcPr>
            <w:tcW w:type="dxa" w:w="633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$1M per occurrence, $2M aggregate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Umbrella / Excess</w:t>
            </w:r>
          </w:p>
        </w:tc>
        <w:tc>
          <w:tcPr>
            <w:tcW w:type="dxa" w:w="63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Available $1M–$5M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Auto Liability</w:t>
            </w:r>
          </w:p>
        </w:tc>
        <w:tc>
          <w:tcPr>
            <w:tcW w:type="dxa" w:w="633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$1M CSL (available)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rFonts w:ascii="Calibri" w:hAnsi="Calibri"/>
          <w:b w:val="0"/>
          <w:i w:val="0"/>
          <w:color w:val="455A64"/>
          <w:sz w:val="20"/>
        </w:rPr>
        <w:t>We provide Additional Insured endorsements and Waiver of Subrogation on request.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5.  Bonding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spacing w:after="200"/>
      </w:pPr>
      <w:r>
        <w:rPr>
          <w:rFonts w:ascii="Calibri" w:hAnsi="Calibri"/>
          <w:b w:val="0"/>
          <w:i w:val="0"/>
          <w:color w:val="455A64"/>
          <w:sz w:val="20"/>
        </w:rPr>
        <w:t>We are establishing bonding capacity and can obtain project-specific performance and payment bonds through our surety. Contact us for current bonding availability.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6.  Safety Record</w:t>
      </w:r>
    </w:p>
    <w:p>
      <w:pPr>
        <w:keepNext/>
        <w:spacing w:before="0" w:after="200"/>
        <w:pBdr>
          <w:bottom w:val="single" w:sz="8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6048"/>
      </w:tblGrid>
      <w:tr>
        <w:trPr>
          <w:cantSplit/>
          <w:tblHeader/>
        </w:trPr>
        <w:tc>
          <w:tcPr>
            <w:tcW w:type="dxa" w:w="3888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048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EMR (Experience Modification Rate)</w:t>
            </w:r>
          </w:p>
        </w:tc>
        <w:tc>
          <w:tcPr>
            <w:tcW w:type="dxa" w:w="604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Not yet rated (company formed Feb 2026)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OSHA Citations (Last 3 Years)</w:t>
            </w:r>
          </w:p>
        </w:tc>
        <w:tc>
          <w:tcPr>
            <w:tcW w:type="dxa" w:w="604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None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Lost-Time Incidents (Last 3 Years)</w:t>
            </w:r>
          </w:p>
        </w:tc>
        <w:tc>
          <w:tcPr>
            <w:tcW w:type="dxa" w:w="604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None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Safety Program</w:t>
            </w:r>
          </w:p>
        </w:tc>
        <w:tc>
          <w:tcPr>
            <w:tcW w:type="dxa" w:w="604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Yes — written program on file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OSHA 10 / 30 Certification</w:t>
            </w:r>
          </w:p>
        </w:tc>
        <w:tc>
          <w:tcPr>
            <w:tcW w:type="dxa" w:w="604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All field personnel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Drug Testing</w:t>
            </w:r>
          </w:p>
        </w:tc>
        <w:tc>
          <w:tcPr>
            <w:tcW w:type="dxa" w:w="604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10-panel pre-employment and random</w:t>
            </w:r>
          </w:p>
        </w:tc>
      </w:tr>
    </w:tbl>
    <w:p>
      <w:pPr>
        <w:spacing w:after="120"/>
      </w:pP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7.  Trade Scope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spacing w:after="80"/>
      </w:pPr>
      <w:r>
        <w:rPr>
          <w:rFonts w:ascii="Calibri" w:hAnsi="Calibri"/>
          <w:b w:val="0"/>
          <w:i w:val="0"/>
          <w:color w:val="455A64"/>
          <w:sz w:val="20"/>
        </w:rPr>
        <w:t>We self-perform the following divisions: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Division 27 — Low-Voltage Communications (structured cabling, fiber optic, TR buildout, WAP, pathway)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Division 28 — Electronic Safety &amp; Security (access control, surveillance, intrusion, intercom)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AV Rough-In — Conduit, cabling, and device mounting for audio/visual systems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8.  Project Experience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spacing w:after="200"/>
      </w:pPr>
      <w:r>
        <w:rPr>
          <w:rFonts w:ascii="Calibri" w:hAnsi="Calibri"/>
          <w:b w:val="0"/>
          <w:i w:val="0"/>
          <w:color w:val="455A64"/>
          <w:sz w:val="20"/>
        </w:rPr>
        <w:t>We have completed projects across Residential, K-12 Education, Non-Profit, and Higher Education markets in the KCMO and STL metro areas. Full project experience and references provided in Firm Qualifications.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9.  Bank Reference</w:t>
      </w:r>
    </w:p>
    <w:p>
      <w:pPr>
        <w:keepNext/>
        <w:spacing w:before="0" w:after="200"/>
        <w:pBdr>
          <w:bottom w:val="single" w:sz="8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7200"/>
      </w:tblGrid>
      <w:tr>
        <w:trPr>
          <w:cantSplit/>
          <w:tblHeader/>
        </w:trPr>
        <w:tc>
          <w:tcPr>
            <w:tcW w:type="dxa" w:w="2736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20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Bank</w:t>
            </w:r>
          </w:p>
        </w:tc>
        <w:tc>
          <w:tcPr>
            <w:tcW w:type="dxa" w:w="720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{{BANK_NAME}}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Branch</w:t>
            </w:r>
          </w:p>
        </w:tc>
        <w:tc>
          <w:tcPr>
            <w:tcW w:type="dxa" w:w="720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{{BRANCH}}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Account Type</w:t>
            </w:r>
          </w:p>
        </w:tc>
        <w:tc>
          <w:tcPr>
            <w:tcW w:type="dxa" w:w="720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Business Checking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Contact</w:t>
            </w:r>
          </w:p>
        </w:tc>
        <w:tc>
          <w:tcPr>
            <w:tcW w:type="dxa" w:w="720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{{BANK_CONTACT}}</w:t>
            </w:r>
          </w:p>
        </w:tc>
      </w:tr>
    </w:tbl>
    <w:p>
      <w:pPr>
        <w:spacing w:after="120"/>
      </w:pP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10.  Authorized Signature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spacing w:after="0"/>
      </w:pPr>
      <w:r>
        <w:rPr>
          <w:rFonts w:ascii="Calibri" w:hAnsi="Calibri"/>
          <w:b/>
          <w:i w:val="0"/>
          <w:color w:val="2E7D32"/>
          <w:sz w:val="22"/>
        </w:rPr>
        <w:t>Kaitlyn Morris</w:t>
      </w:r>
    </w:p>
    <w:p>
      <w:pPr>
        <w:spacing w:after="0"/>
      </w:pPr>
      <w:r>
        <w:rPr>
          <w:rFonts w:ascii="Calibri" w:hAnsi="Calibri"/>
          <w:b w:val="0"/>
          <w:i w:val="0"/>
          <w:color w:val="455A64"/>
          <w:sz w:val="20"/>
        </w:rPr>
        <w:t>CEO — Green Communications Contracting LLC</w:t>
      </w:r>
    </w:p>
    <w:p>
      <w:pPr>
        <w:spacing w:after="0"/>
      </w:pPr>
      <w:r>
        <w:rPr>
          <w:rFonts w:ascii="Calibri" w:hAnsi="Calibri"/>
          <w:b w:val="0"/>
          <w:i w:val="0"/>
          <w:color w:val="455A64"/>
          <w:sz w:val="20"/>
        </w:rPr>
        <w:t>kaitlyn@greencommllc.com  ·  (636) 224-8192</w:t>
      </w:r>
    </w:p>
    <w:p>
      <w:pPr>
        <w:spacing w:before="280" w:after="80"/>
      </w:pPr>
    </w:p>
    <w:p>
      <w:pPr>
        <w:pBdr>
          <w:bottom w:val="single" w:sz="12" w:color="2E7D32"/>
        </w:pBdr>
      </w:pPr>
    </w:p>
    <w:p>
      <w:pPr>
        <w:spacing w:after="0"/>
        <w:jc w:val="center"/>
      </w:pPr>
      <w:r>
        <w:rPr>
          <w:rFonts w:ascii="Calibri" w:hAnsi="Calibri"/>
          <w:b w:val="0"/>
          <w:i/>
          <w:color w:val="455A64"/>
          <w:sz w:val="18"/>
        </w:rPr>
        <w:t>Prepared by: GCC Estimating Department  ·  Contact: kaitlyn@greencommllc.com  ·  (636) 224-8192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080" w:bottom="1152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7920"/>
      <w:gridCol w:w="2160"/>
    </w:tblGrid>
    <w:tr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i/>
              <w:color w:val="455A64"/>
              <w:sz w:val="16"/>
            </w:rPr>
            <w:t>GCC LLC   ·   Proprietary &amp; Confidential   ·   Licensed &amp; Insured   ·   KCMO &amp; STL</w:t>
          </w:r>
        </w:p>
      </w:tc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455A64"/>
              <w:sz w:val="16"/>
            </w:rPr>
            <w:t xml:space="preserve">Page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color w:val="455A64"/>
              <w:sz w:val="16"/>
            </w:rPr>
            <w:t xml:space="preserve"> of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4320"/>
    </w:tblGrid>
    <w:tr>
      <w:tc>
        <w:tcPr>
          <w:tcW w:type="dxa" w:w="5616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48640" cy="5486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cc logo only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" cy="5486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/>
      </w:tc>
    </w:tr>
  </w:tbl>
  <w:p>
    <w:pPr>
      <w:spacing w:before="80" w:after="0"/>
      <w:pBdr>
        <w:bottom w:val="single" w:sz="12" w:color="2E7D32"/>
      </w:pBdr>
    </w:pPr>
  </w:p>
  <w:p>
    <w:pPr>
      <w:jc w:val="right"/>
    </w:pPr>
    <w:r>
      <w:rPr>
        <w:rFonts w:ascii="Calibri" w:hAnsi="Calibri"/>
        <w:i/>
        <w:color w:val="2E7D32"/>
        <w:sz w:val="18"/>
      </w:rPr>
      <w:t>Low-Voltage Div 27/28 Contractor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