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2E7D32"/>
          <w:sz w:val="48"/>
        </w:rPr>
        <w:t>Kaitlyn Lim Morris</w:t>
      </w:r>
    </w:p>
    <w:p>
      <w:pPr>
        <w:spacing w:after="200"/>
        <w:jc w:val="center"/>
      </w:pPr>
      <w:r>
        <w:rPr>
          <w:rFonts w:ascii="Calibri" w:hAnsi="Calibri"/>
          <w:i/>
          <w:color w:val="455A64"/>
          <w:sz w:val="24"/>
        </w:rPr>
        <w:t>CEO  —  Green Communications Contracting LLC</w:t>
      </w:r>
    </w:p>
    <w:p>
      <w:pPr>
        <w:pBdr>
          <w:bottom w:val="single" w:sz="12" w:color="2E7D32"/>
        </w:pBdr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Professional Summary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I founded Green Communications Contracting LLC in February 2026 to deliver high-quality, low-voltage infrastructure to commercial and residential clients across the Kansas City and St. Louis metro areas. I manage all business operations, estimating, project management, and client relations for the company.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Role at GCC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Lead all estimating and proposal development for Division 27/28 projects.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Manage client relationships from initial bid through project closeout.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Oversee financial operations, insurance, and compliance.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Develop and maintain our proposal system, templates, and quality standards.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Coordinate with general contractors, architects, and project owners.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Manage our AI-assisted estimating platform for fast, accurate bids.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Background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Before founding GCC, I developed expertise in business operations, financial management, and project coordination. I bring a detail-oriented approach to every bid and project, ensuring accurate scope identification, competitive pricing, and reliable execution.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Education &amp; Credentials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Business operations and management background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OSHA construction safety trained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Active Missouri LLC managing member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Contact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455A64"/>
          <w:sz w:val="20"/>
        </w:rPr>
        <w:t>kaitlyn@greencommllc.com  ·  (636) 224-8192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080" w:bottom="1152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2160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i/>
              <w:color w:val="455A64"/>
              <w:sz w:val="16"/>
            </w:rPr>
            <w:t>GCC LLC   ·   Proprietary &amp; Confidential   ·   Licensed &amp; Insured   ·   KCMO &amp; STL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6"/>
            </w:rPr>
            <w:t xml:space="preserve">Page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455A64"/>
              <w:sz w:val="16"/>
            </w:rPr>
            <w:t xml:space="preserve"> of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4320"/>
    </w:tblGrid>
    <w:tr>
      <w:tc>
        <w:tcPr>
          <w:tcW w:type="dxa" w:w="5616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48640" cy="5486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cc logo only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548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/>
      </w:tc>
    </w:tr>
  </w:tbl>
  <w:p>
    <w:pPr>
      <w:spacing w:before="80" w:after="0"/>
      <w:pBdr>
        <w:bottom w:val="single" w:sz="12" w:color="2E7D32"/>
      </w:pBdr>
    </w:pPr>
  </w:p>
  <w:p>
    <w:pPr>
      <w:jc w:val="right"/>
    </w:pPr>
    <w:r>
      <w:rPr>
        <w:rFonts w:ascii="Calibri" w:hAnsi="Calibri"/>
        <w:i/>
        <w:color w:val="2E7D32"/>
        <w:sz w:val="18"/>
      </w:rPr>
      <w:t>Low-Voltage Div 27/28 Contractor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