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2E7D32"/>
          <w:sz w:val="36"/>
        </w:rPr>
        <w:t>Prevailing Wage Certification</w:t>
      </w:r>
    </w:p>
    <w:p>
      <w:pPr>
        <w:pBdr>
          <w:bottom w:val="single" w:sz="12" w:color="2E7D32"/>
        </w:pBdr>
      </w:pPr>
    </w:p>
    <w:p>
      <w:pPr>
        <w:spacing w:after="200"/>
      </w:pPr>
      <w:r>
        <w:rPr>
          <w:rFonts w:ascii="Calibri" w:hAnsi="Calibri"/>
          <w:b w:val="0"/>
          <w:i w:val="0"/>
          <w:color w:val="455A64"/>
          <w:sz w:val="20"/>
        </w:rPr>
        <w:t>To Whom It May Concern:</w:t>
      </w:r>
    </w:p>
    <w:p>
      <w:pPr>
        <w:spacing w:after="240"/>
      </w:pPr>
      <w:r>
        <w:rPr>
          <w:rFonts w:ascii="Calibri" w:hAnsi="Calibri"/>
          <w:b w:val="0"/>
          <w:i w:val="0"/>
          <w:color w:val="455A64"/>
          <w:sz w:val="20"/>
        </w:rPr>
        <w:t>We certify the following regarding prevailing wage compliance for this project:</w:t>
      </w:r>
    </w:p>
    <w:p>
      <w:pPr>
        <w:keepNext/>
        <w:spacing w:before="160" w:after="80"/>
      </w:pPr>
      <w:r>
        <w:rPr>
          <w:rFonts w:ascii="Calibri" w:hAnsi="Calibri"/>
          <w:b/>
          <w:color w:val="2E7D32"/>
          <w:sz w:val="32"/>
        </w:rPr>
        <w:t>Certification</w:t>
      </w:r>
    </w:p>
    <w:p>
      <w:pPr>
        <w:keepNext/>
        <w:spacing w:before="0" w:after="200"/>
        <w:pBdr>
          <w:bottom w:val="single" w:sz="8" w:color="2E7D32"/>
        </w:pBdr>
      </w:pPr>
    </w:p>
    <w:p>
      <w:pPr>
        <w:spacing w:after="80"/>
      </w:pPr>
      <w:r>
        <w:rPr>
          <w:rFonts w:ascii="Calibri" w:hAnsi="Calibri"/>
          <w:b w:val="0"/>
          <w:i w:val="0"/>
          <w:color w:val="455A64"/>
          <w:sz w:val="20"/>
        </w:rPr>
        <w:t>We, Green Communications Contracting LLC, certify that:</w:t>
      </w:r>
    </w:p>
    <w:p>
      <w:pPr>
        <w:pStyle w:val="ListBullet"/>
        <w:spacing w:after="60"/>
      </w:pPr>
      <w:r>
        <w:rPr>
          <w:rFonts w:ascii="Calibri" w:hAnsi="Calibri"/>
          <w:b w:val="0"/>
          <w:color w:val="455A64"/>
          <w:sz w:val="20"/>
        </w:rPr>
        <w:t>We will pay all workers on this project at or above the applicable prevailing wage rates as determined by the Missouri Department of Labor (state projects) or the U.S. Department of Labor / Davis-Bacon Act (federal projects).</w:t>
      </w:r>
    </w:p>
    <w:p>
      <w:pPr>
        <w:pStyle w:val="ListBullet"/>
        <w:spacing w:after="60"/>
      </w:pPr>
      <w:r>
        <w:rPr>
          <w:rFonts w:ascii="Calibri" w:hAnsi="Calibri"/>
          <w:b w:val="0"/>
          <w:color w:val="455A64"/>
          <w:sz w:val="20"/>
        </w:rPr>
        <w:t>We will submit certified payroll reports in the required format and frequency as specified by the GC and/or awarding authority.</w:t>
      </w:r>
    </w:p>
    <w:p>
      <w:pPr>
        <w:pStyle w:val="ListBullet"/>
        <w:spacing w:after="60"/>
      </w:pPr>
      <w:r>
        <w:rPr>
          <w:rFonts w:ascii="Calibri" w:hAnsi="Calibri"/>
          <w:b w:val="0"/>
          <w:color w:val="455A64"/>
          <w:sz w:val="20"/>
        </w:rPr>
        <w:t>We will maintain accurate payroll records for all workers on this project, including hours worked, classifications, wage rates, and fringe benefits.</w:t>
      </w:r>
    </w:p>
    <w:p>
      <w:pPr>
        <w:pStyle w:val="ListBullet"/>
        <w:spacing w:after="60"/>
      </w:pPr>
      <w:r>
        <w:rPr>
          <w:rFonts w:ascii="Calibri" w:hAnsi="Calibri"/>
          <w:b w:val="0"/>
          <w:color w:val="455A64"/>
          <w:sz w:val="20"/>
        </w:rPr>
        <w:t>We will make payroll records available for inspection by the GC, awarding authority, or Department of Labor upon request.</w:t>
      </w:r>
    </w:p>
    <w:p>
      <w:pPr>
        <w:pStyle w:val="ListBullet"/>
        <w:spacing w:after="60"/>
      </w:pPr>
      <w:r>
        <w:rPr>
          <w:rFonts w:ascii="Calibri" w:hAnsi="Calibri"/>
          <w:b w:val="0"/>
          <w:color w:val="455A64"/>
          <w:sz w:val="20"/>
        </w:rPr>
        <w:t>We will post the applicable prevailing wage determination at the job site in a conspicuous location accessible to all workers.</w:t>
      </w:r>
    </w:p>
    <w:p>
      <w:pPr>
        <w:keepNext/>
        <w:spacing w:before="160" w:after="80"/>
      </w:pPr>
      <w:r>
        <w:rPr>
          <w:rFonts w:ascii="Calibri" w:hAnsi="Calibri"/>
          <w:b/>
          <w:color w:val="2E7D32"/>
          <w:sz w:val="32"/>
        </w:rPr>
        <w:t>Wage Basis</w:t>
      </w:r>
    </w:p>
    <w:p>
      <w:pPr>
        <w:keepNext/>
        <w:spacing w:before="0" w:after="200"/>
        <w:pBdr>
          <w:bottom w:val="single" w:sz="8" w:color="2E7D32"/>
        </w:pBdr>
      </w:pPr>
    </w:p>
    <w:tbl>
      <w:tblPr>
        <w:tblW w:type="auto" w:w="0"/>
        <w:tblLayout w:type="fixed"/>
        <w:tblLook w:firstColumn="1" w:firstRow="1" w:lastColumn="0" w:lastRow="0" w:noHBand="0" w:noVBand="1" w:val="04A0"/>
      </w:tblPr>
      <w:tblGrid>
        <w:gridCol w:w="3168"/>
        <w:gridCol w:w="6768"/>
      </w:tblGrid>
      <w:tr>
        <w:trPr>
          <w:cantSplit/>
        </w:trPr>
        <w:tc>
          <w:tcPr>
            <w:tcW w:type="dxa" w:w="3168"/>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Item</w:t>
            </w:r>
          </w:p>
        </w:tc>
        <w:tc>
          <w:tcPr>
            <w:tcW w:type="dxa" w:w="6768"/>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Detail</w:t>
            </w:r>
          </w:p>
        </w:tc>
      </w:tr>
      <w:tr>
        <w:trPr>
          <w:cantSplit/>
        </w:trPr>
        <w:tc>
          <w:tcPr>
            <w:tcW w:type="dxa" w:w="316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Our Standard Labor Rate</w:t>
            </w:r>
          </w:p>
        </w:tc>
        <w:tc>
          <w:tcPr>
            <w:tcW w:type="dxa" w:w="676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$100/hr (blended)</w:t>
            </w:r>
          </w:p>
        </w:tc>
      </w:tr>
      <w:tr>
        <w:trPr>
          <w:cantSplit/>
        </w:trPr>
        <w:tc>
          <w:tcPr>
            <w:tcW w:type="dxa" w:w="316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Prevailing Wage Applicability</w:t>
            </w:r>
          </w:p>
        </w:tc>
        <w:tc>
          <w:tcPr>
            <w:tcW w:type="dxa" w:w="676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We compare our rate to the published PW rate and use the higher of the two.</w:t>
            </w:r>
          </w:p>
        </w:tc>
      </w:tr>
      <w:tr>
        <w:trPr>
          <w:cantSplit/>
        </w:trPr>
        <w:tc>
          <w:tcPr>
            <w:tcW w:type="dxa" w:w="316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Certified Payroll Format</w:t>
            </w:r>
          </w:p>
        </w:tc>
        <w:tc>
          <w:tcPr>
            <w:tcW w:type="dxa" w:w="676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Format required by the GC or awarding authority (WH-347 for federal).</w:t>
            </w:r>
          </w:p>
        </w:tc>
      </w:tr>
      <w:tr>
        <w:trPr>
          <w:cantSplit/>
        </w:trPr>
        <w:tc>
          <w:tcPr>
            <w:tcW w:type="dxa" w:w="316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Payroll Frequency</w:t>
            </w:r>
          </w:p>
        </w:tc>
        <w:tc>
          <w:tcPr>
            <w:tcW w:type="dxa" w:w="676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Per GC requirements (typically weekly).</w:t>
            </w:r>
          </w:p>
        </w:tc>
      </w:tr>
    </w:tbl>
    <w:p>
      <w:pPr>
        <w:spacing w:after="120"/>
      </w:pPr>
    </w:p>
    <w:p>
      <w:pPr>
        <w:keepNext/>
        <w:spacing w:before="160" w:after="80"/>
      </w:pPr>
      <w:r>
        <w:rPr>
          <w:rFonts w:ascii="Calibri" w:hAnsi="Calibri"/>
          <w:b/>
          <w:color w:val="2E7D32"/>
          <w:sz w:val="32"/>
        </w:rPr>
        <w:t>Compliance</w:t>
      </w:r>
    </w:p>
    <w:p>
      <w:pPr>
        <w:keepNext/>
        <w:spacing w:before="0" w:after="200"/>
        <w:pBdr>
          <w:bottom w:val="single" w:sz="8" w:color="2E7D32"/>
        </w:pBdr>
      </w:pPr>
    </w:p>
    <w:p>
      <w:pPr>
        <w:pStyle w:val="ListBullet"/>
        <w:spacing w:after="60"/>
      </w:pPr>
      <w:r>
        <w:rPr>
          <w:rFonts w:ascii="Calibri" w:hAnsi="Calibri"/>
          <w:b w:val="0"/>
          <w:color w:val="455A64"/>
          <w:sz w:val="20"/>
        </w:rPr>
        <w:t>We classify all workers according to the work actually performed, not by arbitrary title.</w:t>
      </w:r>
    </w:p>
    <w:p>
      <w:pPr>
        <w:pStyle w:val="ListBullet"/>
        <w:spacing w:after="60"/>
      </w:pPr>
      <w:r>
        <w:rPr>
          <w:rFonts w:ascii="Calibri" w:hAnsi="Calibri"/>
          <w:b w:val="0"/>
          <w:color w:val="455A64"/>
          <w:sz w:val="20"/>
        </w:rPr>
        <w:t>We do not employ split classifications to reduce wage obligations.</w:t>
      </w:r>
    </w:p>
    <w:p>
      <w:pPr>
        <w:pStyle w:val="ListBullet"/>
        <w:spacing w:after="60"/>
      </w:pPr>
      <w:r>
        <w:rPr>
          <w:rFonts w:ascii="Calibri" w:hAnsi="Calibri"/>
          <w:b w:val="0"/>
          <w:color w:val="455A64"/>
          <w:sz w:val="20"/>
        </w:rPr>
        <w:t>We pay applicable fringe benefits or include them in the hourly cash wage.</w:t>
      </w:r>
    </w:p>
    <w:p>
      <w:pPr>
        <w:pStyle w:val="ListBullet"/>
        <w:spacing w:after="60"/>
      </w:pPr>
      <w:r>
        <w:rPr>
          <w:rFonts w:ascii="Calibri" w:hAnsi="Calibri"/>
          <w:b w:val="0"/>
          <w:color w:val="455A64"/>
          <w:sz w:val="20"/>
        </w:rPr>
        <w:t>We comply with all overtime requirements (time-and-a-half after 40 hours per week).</w:t>
      </w:r>
    </w:p>
    <w:p>
      <w:pPr>
        <w:pStyle w:val="ListBullet"/>
        <w:spacing w:after="60"/>
      </w:pPr>
      <w:r>
        <w:rPr>
          <w:rFonts w:ascii="Calibri" w:hAnsi="Calibri"/>
          <w:b w:val="0"/>
          <w:color w:val="455A64"/>
          <w:sz w:val="20"/>
        </w:rPr>
        <w:t>We understand that falsification of certified payroll records is a violation of federal and state law.</w:t>
      </w:r>
    </w:p>
    <w:p>
      <w:pPr>
        <w:spacing w:after="240"/>
      </w:pPr>
      <w:r>
        <w:rPr>
          <w:rFonts w:ascii="Calibri" w:hAnsi="Calibri"/>
          <w:b w:val="0"/>
          <w:i w:val="0"/>
          <w:color w:val="455A64"/>
          <w:sz w:val="20"/>
        </w:rPr>
      </w:r>
    </w:p>
    <w:p>
      <w:pPr>
        <w:spacing w:after="160"/>
      </w:pPr>
    </w:p>
    <w:p>
      <w:pPr>
        <w:spacing w:after="360"/>
      </w:pPr>
      <w:r>
        <w:rPr>
          <w:rFonts w:ascii="Calibri" w:hAnsi="Calibri"/>
          <w:b w:val="0"/>
          <w:i w:val="0"/>
          <w:color w:val="455A64"/>
          <w:sz w:val="20"/>
        </w:rPr>
        <w:t>Sincerely,</w:t>
      </w:r>
    </w:p>
    <w:p>
      <w:pPr>
        <w:spacing w:after="0"/>
      </w:pPr>
      <w:r>
        <w:rPr>
          <w:rFonts w:ascii="Calibri" w:hAnsi="Calibri"/>
          <w:b/>
          <w:i w:val="0"/>
          <w:color w:val="2E7D32"/>
          <w:sz w:val="22"/>
        </w:rPr>
        <w:t>Kaitlyn Morris</w:t>
      </w:r>
    </w:p>
    <w:p>
      <w:pPr>
        <w:spacing w:after="0"/>
      </w:pPr>
      <w:r>
        <w:rPr>
          <w:rFonts w:ascii="Calibri" w:hAnsi="Calibri"/>
          <w:b w:val="0"/>
          <w:i w:val="0"/>
          <w:color w:val="455A64"/>
          <w:sz w:val="20"/>
        </w:rPr>
        <w:t>CEO — Green Communications Contracting LLC</w:t>
      </w:r>
    </w:p>
    <w:p>
      <w:pPr>
        <w:spacing w:after="0"/>
      </w:pPr>
      <w:r>
        <w:rPr>
          <w:rFonts w:ascii="Calibri" w:hAnsi="Calibri"/>
          <w:b w:val="0"/>
          <w:i w:val="0"/>
          <w:color w:val="455A64"/>
          <w:sz w:val="18"/>
        </w:rPr>
        <w:t>kaitlyn@greencommllc.com  ·  (636) 224-8192</w:t>
      </w:r>
    </w:p>
    <w:sectPr w:rsidR="00FC693F" w:rsidRPr="0006063C" w:rsidSect="00034616">
      <w:headerReference w:type="default" r:id="rId9"/>
      <w:footerReference w:type="default" r:id="rId10"/>
      <w:pgSz w:w="12240" w:h="15840"/>
      <w:pgMar w:top="576" w:right="1080" w:bottom="1152"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7920"/>
      <w:gridCol w:w="2160"/>
    </w:tblGrid>
    <w:tr>
      <w:tc>
        <w:tcPr>
          <w:tcW w:type="dxa" w:w="5040"/>
          <w:tcBorders>
            <w:top w:val="nil"/>
            <w:left w:val="nil"/>
            <w:bottom w:val="nil"/>
            <w:right w:val="nil"/>
          </w:tcBorders>
        </w:tcPr>
        <w:p>
          <w:pPr>
            <w:jc w:val="left"/>
          </w:pPr>
          <w:r>
            <w:rPr>
              <w:rFonts w:ascii="Calibri" w:hAnsi="Calibri"/>
              <w:i/>
              <w:color w:val="455A64"/>
              <w:sz w:val="16"/>
            </w:rPr>
            <w:t>GCC LLC   ·   Proprietary &amp; Confidential   ·   Licensed &amp; Insured   ·   KCMO &amp; STL</w:t>
          </w:r>
        </w:p>
      </w:tc>
      <w:tc>
        <w:tcPr>
          <w:tcW w:type="dxa" w:w="5040"/>
          <w:tcBorders>
            <w:top w:val="nil"/>
            <w:left w:val="nil"/>
            <w:bottom w:val="nil"/>
            <w:right w:val="nil"/>
          </w:tcBorders>
        </w:tcPr>
        <w:p>
          <w:pPr>
            <w:jc w:val="right"/>
          </w:pPr>
          <w:r>
            <w:rPr>
              <w:rFonts w:ascii="Calibri" w:hAnsi="Calibri"/>
              <w:color w:val="455A64"/>
              <w:sz w:val="16"/>
            </w:rPr>
            <w:t xml:space="preserve">Page </w:t>
          </w:r>
          <w:r>
            <w:rPr>
              <w:rFonts w:ascii="Calibri" w:hAnsi="Calibri"/>
              <w:color w:val="455A64"/>
              <w:sz w:val="16"/>
            </w:rPr>
            <w:fldChar w:fldCharType="begin"/>
            <w:instrText xml:space="preserve">PAGE</w:instrText>
            <w:fldChar w:fldCharType="end"/>
          </w:r>
          <w:r>
            <w:rPr>
              <w:rFonts w:ascii="Calibri" w:hAnsi="Calibri"/>
              <w:color w:val="455A64"/>
              <w:sz w:val="16"/>
            </w:rPr>
            <w:t xml:space="preserve"> of </w:t>
          </w:r>
          <w:r>
            <w:rPr>
              <w:rFonts w:ascii="Calibri" w:hAnsi="Calibri"/>
              <w:color w:val="455A64"/>
              <w:sz w:val="16"/>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616"/>
      <w:gridCol w:w="4320"/>
    </w:tblGrid>
    <w:tr>
      <w:tc>
        <w:tcPr>
          <w:tcW w:type="dxa" w:w="5616"/>
          <w:tcBorders>
            <w:top w:val="nil"/>
            <w:left w:val="nil"/>
            <w:bottom w:val="nil"/>
            <w:right w:val="nil"/>
          </w:tcBorders>
        </w:tcPr>
        <w:p>
          <w:pPr>
            <w:jc w:val="left"/>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gcc logo with name and contact.png"/>
                        <pic:cNvPicPr/>
                      </pic:nvPicPr>
                      <pic:blipFill>
                        <a:blip r:embed="rId1"/>
                        <a:stretch>
                          <a:fillRect/>
                        </a:stretch>
                      </pic:blipFill>
                      <pic:spPr>
                        <a:xfrm>
                          <a:off x="0" y="0"/>
                          <a:ext cx="1828800" cy="1828800"/>
                        </a:xfrm>
                        <a:prstGeom prst="rect"/>
                      </pic:spPr>
                    </pic:pic>
                  </a:graphicData>
                </a:graphic>
              </wp:inline>
            </w:drawing>
          </w:r>
        </w:p>
      </w:tc>
      <w:tc>
        <w:tcPr>
          <w:tcW w:type="dxa" w:w="4320"/>
          <w:tcBorders>
            <w:top w:val="nil"/>
            <w:left w:val="nil"/>
            <w:bottom w:val="nil"/>
            <w:right w:val="nil"/>
          </w:tcBorders>
        </w:tcPr>
        <w:p/>
      </w:tc>
    </w:tr>
  </w:tbl>
  <w:p>
    <w:pPr>
      <w:spacing w:before="80" w:after="0"/>
      <w:pBdr>
        <w:bottom w:val="single" w:sz="12" w:color="2E7D32"/>
      </w:pBdr>
    </w:pPr>
  </w:p>
  <w:p>
    <w:pPr>
      <w:jc w:val="right"/>
    </w:pPr>
    <w:r>
      <w:rPr>
        <w:rFonts w:ascii="Calibri" w:hAnsi="Calibri"/>
        <w:i/>
        <w:color w:val="2E7D32"/>
        <w:sz w:val="18"/>
      </w:rPr>
      <w:t>Low-Voltage Div 27/28 Contractor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