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6"/>
        </w:rPr>
        <w:t>Quality Assurance / Quality Control (QA-QC) Plan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2"/>
        </w:rPr>
        <w:t>Green Communications Contracting LLC  ·  Effective April 9, 2026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1.  Quality Policy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We deliver every project to specification, on schedule, with zero defects at final inspection. Quality is built into every phase of our work — from material procurement through final certification testing.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2.  Applicable Standards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ANSI/TIA-568.2-D (Balanced Twisted-Pair Cabling)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ANSI/TIA-568.3-D (Optical Fiber Cabling)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ANSI/TIA-606-C (Administration Standard for Telecommunications Infrastructure)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BICSI TDMM 15th Edition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NEC / NFPA 70 (as applicable to low-voltage)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29 CFR 1926 (Construction Safety)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Project-specific specifications and drawings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3.  QA/QC Responsibilities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cantSplit/>
          <w:tblHeader/>
        </w:trPr>
        <w:tc>
          <w:tcPr>
            <w:tcW w:type="dxa" w:w="3456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480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QA Manager (Nathan Morris)</w:t>
            </w:r>
          </w:p>
        </w:tc>
        <w:tc>
          <w:tcPr>
            <w:tcW w:type="dxa" w:w="64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Oversees quality program, conducts inspections, reviews test results, approves corrective actions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Field Installers</w:t>
            </w:r>
          </w:p>
        </w:tc>
        <w:tc>
          <w:tcPr>
            <w:tcW w:type="dxa" w:w="6480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Follow installation standards, perform self-inspections, report deficiencies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CEO (Kaitlyn Morris)</w:t>
            </w:r>
          </w:p>
        </w:tc>
        <w:tc>
          <w:tcPr>
            <w:tcW w:type="dxa" w:w="6480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Reviews quality metrics, approves program updates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4.  Pre-Installation QC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Before we begin installation on any project, we complete the following: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Review all project drawings, specifications, and addenda.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Verify material approvals are complete.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Confirm cable and connector types match the spec.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Inspect all materials upon delivery for damage and correct part numbers.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Conduct a site walk to verify pathway routing and TR locations match drawings.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Brief the crew on project-specific quality requirements.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5.  Installation QC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During installation, we maintain quality through: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Cable handling — We maintain bend radius per manufacturer specs, do not exceed pulling tension limits, and protect all cable from damage.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Termination — We terminate all copper to T568B (unless spec requires T568A) and maintain pair twist to within 0.5" of termination point.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Fiber — We clean and inspect all connectors before mating; we fusion-splice per manufacturer procedures.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Pathway — We install J-hooks at maximum 48" intervals, maintain cable fill ratios per NEC, and separate low-voltage from power per code.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Labeling — We label both ends of every cable per ANSI/TIA-606-C before testing.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Daily inspection — Our field supervisor inspects all work completed each day and corrects deficiencies before proceeding.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6.  Testing &amp; Certification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test 100% of all copper links using Fluke DSX-8000.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test 100% of all fiber links using Fluke CertiFiber Pro.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test to the permanent link model for copper and the channel model when required.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Every link must pass — we do not sample.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Failed links are re-terminated and re-tested until they pass.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export all test results via Fluke LinkWare and deliver PDF + .flw files.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7.  Labeling Standards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follow ANSI/TIA-606-C at both ends of every cable.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Cable IDs match the cable schedule and as-built documentation.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use machine-printed labels (no handwriting).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Labels are applied to cables, patch panels, faceplates, and racks.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8.  Security / Access Control QC (Division 28)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verify all reader, camera, and contact locations match drawings before rough-in.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confirm cable types match spec (shielded where required).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test continuity on all security cabling before device installation.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coordinate with the security integrator for device programming and commissioning (programming is by others).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9.  Closeout Documentation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At project completion, we deliver: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100% Fluke test results (PDF + LinkWare)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As-built cable schedule with actual measured lengths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As-built rack elevation drawings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Label matrix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Product data sheets and manufacturer warranty certificates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O&amp;M manual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10.  Non-Conformance &amp; Corrective Action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80"/>
      </w:pPr>
      <w:r>
        <w:rPr>
          <w:rFonts w:ascii="Calibri" w:hAnsi="Calibri"/>
          <w:b w:val="0"/>
          <w:i w:val="0"/>
          <w:color w:val="455A64"/>
          <w:sz w:val="20"/>
        </w:rPr>
        <w:t>When we identify a deficiency: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document the issue (location, description, root cause).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implement corrective action immediately.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re-inspect and re-test after correction.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record the resolution in our project quality log.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review recurring issues at the end of each project to update our procedures.</w:t>
      </w:r>
    </w:p>
    <w:p>
      <w:pPr>
        <w:spacing w:before="280" w:after="80"/>
      </w:pPr>
    </w:p>
    <w:p>
      <w:pPr>
        <w:pBdr>
          <w:bottom w:val="single" w:sz="12" w:color="2E7D32"/>
        </w:pBdr>
      </w:pPr>
    </w:p>
    <w:p>
      <w:pPr>
        <w:spacing w:after="0"/>
        <w:jc w:val="center"/>
      </w:pPr>
      <w:r>
        <w:rPr>
          <w:rFonts w:ascii="Calibri" w:hAnsi="Calibri"/>
          <w:b w:val="0"/>
          <w:i/>
          <w:color w:val="455A64"/>
          <w:sz w:val="18"/>
        </w:rPr>
        <w:t>Prepared by: GCC Estimating Department  ·  Contact: 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