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2E7D32"/>
          <w:sz w:val="40"/>
        </w:rPr>
        <w:t>Safety Program</w:t>
      </w:r>
    </w:p>
    <w:p>
      <w:pPr>
        <w:spacing w:after="200"/>
        <w:jc w:val="center"/>
      </w:pPr>
      <w:r>
        <w:rPr>
          <w:rFonts w:ascii="Calibri" w:hAnsi="Calibri"/>
          <w:i/>
          <w:color w:val="455A64"/>
          <w:sz w:val="22"/>
        </w:rPr>
        <w:t>Green Communications Contracting LLC  ·  Effective April 9, 2026</w:t>
      </w:r>
    </w:p>
    <w:p>
      <w:pPr>
        <w:pBdr>
          <w:bottom w:val="single" w:sz="12" w:color="2E7D32"/>
        </w:pBdr>
      </w:pPr>
    </w:p>
    <w:p>
      <w:pPr>
        <w:keepNext/>
        <w:spacing w:before="160" w:after="80"/>
      </w:pPr>
      <w:r>
        <w:rPr>
          <w:rFonts w:ascii="Calibri" w:hAnsi="Calibri"/>
          <w:b/>
          <w:color w:val="2E7D32"/>
          <w:sz w:val="32"/>
        </w:rPr>
        <w:t>1.  Policy Statement</w:t>
      </w:r>
    </w:p>
    <w:p>
      <w:pPr>
        <w:keepNext/>
        <w:spacing w:before="0" w:after="200"/>
        <w:pBdr>
          <w:bottom w:val="single" w:sz="8" w:color="2E7D32"/>
        </w:pBdr>
      </w:pPr>
    </w:p>
    <w:p>
      <w:pPr>
        <w:spacing w:after="200"/>
      </w:pPr>
      <w:r>
        <w:rPr>
          <w:rFonts w:ascii="Calibri" w:hAnsi="Calibri"/>
          <w:b w:val="0"/>
          <w:i w:val="0"/>
          <w:color w:val="455A64"/>
          <w:sz w:val="20"/>
        </w:rPr>
        <w:t>We are committed to maintaining a safe work environment for our employees, subcontractors, and all personnel on our project sites. Safety is not optional — it is a core requirement of every project we perform. We comply with all applicable OSHA regulations (29 CFR 1926), state safety requirements, and GC site-specific safety rules.</w:t>
      </w:r>
    </w:p>
    <w:p>
      <w:pPr>
        <w:keepNext/>
        <w:spacing w:before="160" w:after="80"/>
      </w:pPr>
      <w:r>
        <w:rPr>
          <w:rFonts w:ascii="Calibri" w:hAnsi="Calibri"/>
          <w:b/>
          <w:color w:val="2E7D32"/>
          <w:sz w:val="32"/>
        </w:rPr>
        <w:t>2.  Scope</w:t>
      </w:r>
    </w:p>
    <w:p>
      <w:pPr>
        <w:keepNext/>
        <w:spacing w:before="0" w:after="200"/>
        <w:pBdr>
          <w:bottom w:val="single" w:sz="8" w:color="2E7D32"/>
        </w:pBdr>
      </w:pPr>
    </w:p>
    <w:p>
      <w:pPr>
        <w:spacing w:after="200"/>
      </w:pPr>
      <w:r>
        <w:rPr>
          <w:rFonts w:ascii="Calibri" w:hAnsi="Calibri"/>
          <w:b w:val="0"/>
          <w:i w:val="0"/>
          <w:color w:val="455A64"/>
          <w:sz w:val="20"/>
        </w:rPr>
        <w:t>This program applies to all work we perform under Divisions 27 and 28, including structured cabling, fiber optic installation, telecom room buildout, cable pathway installation, security device mounting, and all related activities. It applies to our employees, any sub-labor working under our supervision, and all GCC-controlled work areas.</w:t>
      </w:r>
    </w:p>
    <w:p>
      <w:pPr>
        <w:keepNext/>
        <w:spacing w:before="160" w:after="80"/>
      </w:pPr>
      <w:r>
        <w:rPr>
          <w:rFonts w:ascii="Calibri" w:hAnsi="Calibri"/>
          <w:b/>
          <w:color w:val="2E7D32"/>
          <w:sz w:val="32"/>
        </w:rPr>
        <w:t>3.  Responsibilities</w:t>
      </w:r>
    </w:p>
    <w:p>
      <w:pPr>
        <w:keepNext/>
        <w:spacing w:before="0" w:after="200"/>
        <w:pBdr>
          <w:bottom w:val="single" w:sz="8" w:color="2E7D32"/>
        </w:pBdr>
      </w:pPr>
    </w:p>
    <w:p>
      <w:pPr>
        <w:keepNext/>
        <w:spacing w:before="200" w:after="80"/>
      </w:pPr>
      <w:r>
        <w:rPr>
          <w:rFonts w:ascii="Calibri" w:hAnsi="Calibri"/>
          <w:b/>
          <w:color w:val="455A64"/>
          <w:sz w:val="22"/>
        </w:rPr>
        <w:t>CEO (Kaitlyn Morris)</w:t>
      </w:r>
    </w:p>
    <w:p>
      <w:pPr>
        <w:pStyle w:val="ListBullet"/>
        <w:spacing w:after="60"/>
      </w:pPr>
      <w:r>
        <w:rPr>
          <w:rFonts w:ascii="Calibri" w:hAnsi="Calibri"/>
          <w:b w:val="0"/>
          <w:color w:val="455A64"/>
          <w:sz w:val="20"/>
        </w:rPr>
        <w:t>Maintains and updates this safety program.</w:t>
      </w:r>
    </w:p>
    <w:p>
      <w:pPr>
        <w:pStyle w:val="ListBullet"/>
        <w:spacing w:after="60"/>
      </w:pPr>
      <w:r>
        <w:rPr>
          <w:rFonts w:ascii="Calibri" w:hAnsi="Calibri"/>
          <w:b w:val="0"/>
          <w:color w:val="455A64"/>
          <w:sz w:val="20"/>
        </w:rPr>
        <w:t>Ensures adequate safety training and resources.</w:t>
      </w:r>
    </w:p>
    <w:p>
      <w:pPr>
        <w:pStyle w:val="ListBullet"/>
        <w:spacing w:after="60"/>
      </w:pPr>
      <w:r>
        <w:rPr>
          <w:rFonts w:ascii="Calibri" w:hAnsi="Calibri"/>
          <w:b w:val="0"/>
          <w:color w:val="455A64"/>
          <w:sz w:val="20"/>
        </w:rPr>
        <w:t>Reviews all incident reports and implements corrective actions.</w:t>
      </w:r>
    </w:p>
    <w:p>
      <w:pPr>
        <w:keepNext/>
        <w:spacing w:before="200" w:after="80"/>
      </w:pPr>
      <w:r>
        <w:rPr>
          <w:rFonts w:ascii="Calibri" w:hAnsi="Calibri"/>
          <w:b/>
          <w:color w:val="455A64"/>
          <w:sz w:val="22"/>
        </w:rPr>
        <w:t>Director of Operations (Nathan Morris)</w:t>
      </w:r>
    </w:p>
    <w:p>
      <w:pPr>
        <w:pStyle w:val="ListBullet"/>
        <w:spacing w:after="60"/>
      </w:pPr>
      <w:r>
        <w:rPr>
          <w:rFonts w:ascii="Calibri" w:hAnsi="Calibri"/>
          <w:b w:val="0"/>
          <w:color w:val="455A64"/>
          <w:sz w:val="20"/>
        </w:rPr>
        <w:t>Conducts daily safety briefings on site.</w:t>
      </w:r>
    </w:p>
    <w:p>
      <w:pPr>
        <w:pStyle w:val="ListBullet"/>
        <w:spacing w:after="60"/>
      </w:pPr>
      <w:r>
        <w:rPr>
          <w:rFonts w:ascii="Calibri" w:hAnsi="Calibri"/>
          <w:b w:val="0"/>
          <w:color w:val="455A64"/>
          <w:sz w:val="20"/>
        </w:rPr>
        <w:t>Enforces PPE requirements and safe work practices.</w:t>
      </w:r>
    </w:p>
    <w:p>
      <w:pPr>
        <w:pStyle w:val="ListBullet"/>
        <w:spacing w:after="60"/>
      </w:pPr>
      <w:r>
        <w:rPr>
          <w:rFonts w:ascii="Calibri" w:hAnsi="Calibri"/>
          <w:b w:val="0"/>
          <w:color w:val="455A64"/>
          <w:sz w:val="20"/>
        </w:rPr>
        <w:t>Performs site hazard assessments before work begins each day.</w:t>
      </w:r>
    </w:p>
    <w:p>
      <w:pPr>
        <w:pStyle w:val="ListBullet"/>
        <w:spacing w:after="60"/>
      </w:pPr>
      <w:r>
        <w:rPr>
          <w:rFonts w:ascii="Calibri" w:hAnsi="Calibri"/>
          <w:b w:val="0"/>
          <w:color w:val="455A64"/>
          <w:sz w:val="20"/>
        </w:rPr>
        <w:t>Stops work immediately when unsafe conditions are observed.</w:t>
      </w:r>
    </w:p>
    <w:p>
      <w:pPr>
        <w:keepNext/>
        <w:spacing w:before="200" w:after="80"/>
      </w:pPr>
      <w:r>
        <w:rPr>
          <w:rFonts w:ascii="Calibri" w:hAnsi="Calibri"/>
          <w:b/>
          <w:color w:val="455A64"/>
          <w:sz w:val="22"/>
        </w:rPr>
        <w:t>All Field Personnel</w:t>
      </w:r>
    </w:p>
    <w:p>
      <w:pPr>
        <w:pStyle w:val="ListBullet"/>
        <w:spacing w:after="60"/>
      </w:pPr>
      <w:r>
        <w:rPr>
          <w:rFonts w:ascii="Calibri" w:hAnsi="Calibri"/>
          <w:b w:val="0"/>
          <w:color w:val="455A64"/>
          <w:sz w:val="20"/>
        </w:rPr>
        <w:t>Follow this safety program and all GC site rules.</w:t>
      </w:r>
    </w:p>
    <w:p>
      <w:pPr>
        <w:pStyle w:val="ListBullet"/>
        <w:spacing w:after="60"/>
      </w:pPr>
      <w:r>
        <w:rPr>
          <w:rFonts w:ascii="Calibri" w:hAnsi="Calibri"/>
          <w:b w:val="0"/>
          <w:color w:val="455A64"/>
          <w:sz w:val="20"/>
        </w:rPr>
        <w:t>Wear required PPE at all times.</w:t>
      </w:r>
    </w:p>
    <w:p>
      <w:pPr>
        <w:pStyle w:val="ListBullet"/>
        <w:spacing w:after="60"/>
      </w:pPr>
      <w:r>
        <w:rPr>
          <w:rFonts w:ascii="Calibri" w:hAnsi="Calibri"/>
          <w:b w:val="0"/>
          <w:color w:val="455A64"/>
          <w:sz w:val="20"/>
        </w:rPr>
        <w:t>Report unsafe conditions and near-misses immediately.</w:t>
      </w:r>
    </w:p>
    <w:p>
      <w:pPr>
        <w:pStyle w:val="ListBullet"/>
        <w:spacing w:after="60"/>
      </w:pPr>
      <w:r>
        <w:rPr>
          <w:rFonts w:ascii="Calibri" w:hAnsi="Calibri"/>
          <w:b w:val="0"/>
          <w:color w:val="455A64"/>
          <w:sz w:val="20"/>
        </w:rPr>
        <w:t>Exercise stop-work authority when necessary.</w:t>
      </w:r>
    </w:p>
    <w:p>
      <w:pPr>
        <w:keepNext/>
        <w:spacing w:before="160" w:after="80"/>
      </w:pPr>
      <w:r>
        <w:rPr>
          <w:rFonts w:ascii="Calibri" w:hAnsi="Calibri"/>
          <w:b/>
          <w:color w:val="2E7D32"/>
          <w:sz w:val="32"/>
        </w:rPr>
        <w:t>4.  Training Requirements</w:t>
      </w:r>
    </w:p>
    <w:p>
      <w:pPr>
        <w:keepNext/>
        <w:spacing w:before="0" w:after="200"/>
        <w:pBdr>
          <w:bottom w:val="single" w:sz="8" w:color="2E7D32"/>
        </w:pBdr>
      </w:pPr>
    </w:p>
    <w:p>
      <w:pPr>
        <w:spacing w:after="80"/>
      </w:pPr>
      <w:r>
        <w:rPr>
          <w:rFonts w:ascii="Calibri" w:hAnsi="Calibri"/>
          <w:b w:val="0"/>
          <w:i w:val="0"/>
          <w:color w:val="455A64"/>
          <w:sz w:val="20"/>
        </w:rPr>
        <w:t>All our field personnel must complete the following before working on any project:</w:t>
      </w:r>
    </w:p>
    <w:p>
      <w:pPr>
        <w:pStyle w:val="ListBullet"/>
        <w:spacing w:after="60"/>
      </w:pPr>
      <w:r>
        <w:rPr>
          <w:rFonts w:ascii="Calibri" w:hAnsi="Calibri"/>
          <w:b w:val="0"/>
          <w:color w:val="455A64"/>
          <w:sz w:val="20"/>
        </w:rPr>
        <w:t>OSHA 10-Hour Construction Safety certification</w:t>
      </w:r>
    </w:p>
    <w:p>
      <w:pPr>
        <w:pStyle w:val="ListBullet"/>
        <w:spacing w:after="60"/>
      </w:pPr>
      <w:r>
        <w:rPr>
          <w:rFonts w:ascii="Calibri" w:hAnsi="Calibri"/>
          <w:b w:val="0"/>
          <w:color w:val="455A64"/>
          <w:sz w:val="20"/>
        </w:rPr>
        <w:t>First Aid / CPR certification</w:t>
      </w:r>
    </w:p>
    <w:p>
      <w:pPr>
        <w:pStyle w:val="ListBullet"/>
        <w:spacing w:after="60"/>
      </w:pPr>
      <w:r>
        <w:rPr>
          <w:rFonts w:ascii="Calibri" w:hAnsi="Calibri"/>
          <w:b w:val="0"/>
          <w:color w:val="455A64"/>
          <w:sz w:val="20"/>
        </w:rPr>
        <w:t>GCC safety orientation (company-specific hazards, procedures, and expectations)</w:t>
      </w:r>
    </w:p>
    <w:p>
      <w:pPr>
        <w:pStyle w:val="ListBullet"/>
        <w:spacing w:after="60"/>
      </w:pPr>
      <w:r>
        <w:rPr>
          <w:rFonts w:ascii="Calibri" w:hAnsi="Calibri"/>
          <w:b w:val="0"/>
          <w:color w:val="455A64"/>
          <w:sz w:val="20"/>
        </w:rPr>
        <w:t>Site-specific orientation per GC requirements</w:t>
      </w:r>
    </w:p>
    <w:p>
      <w:pPr>
        <w:pStyle w:val="ListBullet"/>
        <w:spacing w:after="60"/>
      </w:pPr>
      <w:r>
        <w:rPr>
          <w:rFonts w:ascii="Calibri" w:hAnsi="Calibri"/>
          <w:b w:val="0"/>
          <w:color w:val="455A64"/>
          <w:sz w:val="20"/>
        </w:rPr>
        <w:t>Aerial lift operator training (when lift use is required)</w:t>
      </w:r>
    </w:p>
    <w:p>
      <w:pPr>
        <w:pStyle w:val="ListBullet"/>
        <w:spacing w:after="60"/>
      </w:pPr>
      <w:r>
        <w:rPr>
          <w:rFonts w:ascii="Calibri" w:hAnsi="Calibri"/>
          <w:b w:val="0"/>
          <w:color w:val="455A64"/>
          <w:sz w:val="20"/>
        </w:rPr>
        <w:t>OSHA 30-Hour Construction Safety (required for all field supervisors)</w:t>
      </w:r>
    </w:p>
    <w:p>
      <w:pPr>
        <w:spacing w:after="200"/>
      </w:pPr>
      <w:r>
        <w:rPr>
          <w:rFonts w:ascii="Calibri" w:hAnsi="Calibri"/>
          <w:b w:val="0"/>
          <w:i w:val="0"/>
          <w:color w:val="455A64"/>
          <w:sz w:val="20"/>
        </w:rPr>
        <w:t>We document all training and maintain records at our office. Copies are available on request.</w:t>
      </w:r>
    </w:p>
    <w:p>
      <w:pPr>
        <w:keepNext/>
        <w:spacing w:before="160" w:after="80"/>
      </w:pPr>
      <w:r>
        <w:rPr>
          <w:rFonts w:ascii="Calibri" w:hAnsi="Calibri"/>
          <w:b/>
          <w:color w:val="2E7D32"/>
          <w:sz w:val="32"/>
        </w:rPr>
        <w:t>5.  Hazard Communication</w:t>
      </w:r>
    </w:p>
    <w:p>
      <w:pPr>
        <w:keepNext/>
        <w:spacing w:before="0" w:after="200"/>
        <w:pBdr>
          <w:bottom w:val="single" w:sz="8" w:color="2E7D32"/>
        </w:pBdr>
      </w:pPr>
    </w:p>
    <w:p>
      <w:pPr>
        <w:pStyle w:val="ListBullet"/>
        <w:spacing w:after="60"/>
      </w:pPr>
      <w:r>
        <w:rPr>
          <w:rFonts w:ascii="Calibri" w:hAnsi="Calibri"/>
          <w:b w:val="0"/>
          <w:color w:val="455A64"/>
          <w:sz w:val="20"/>
        </w:rPr>
        <w:t>We maintain Safety Data Sheets (SDS) for all chemicals we bring to the job site.</w:t>
      </w:r>
    </w:p>
    <w:p>
      <w:pPr>
        <w:pStyle w:val="ListBullet"/>
        <w:spacing w:after="60"/>
      </w:pPr>
      <w:r>
        <w:rPr>
          <w:rFonts w:ascii="Calibri" w:hAnsi="Calibri"/>
          <w:b w:val="0"/>
          <w:color w:val="455A64"/>
          <w:sz w:val="20"/>
        </w:rPr>
        <w:t>We label all containers per GHS/OSHA requirements.</w:t>
      </w:r>
    </w:p>
    <w:p>
      <w:pPr>
        <w:pStyle w:val="ListBullet"/>
        <w:spacing w:after="60"/>
      </w:pPr>
      <w:r>
        <w:rPr>
          <w:rFonts w:ascii="Calibri" w:hAnsi="Calibri"/>
          <w:b w:val="0"/>
          <w:color w:val="455A64"/>
          <w:sz w:val="20"/>
        </w:rPr>
        <w:t>We train all personnel on the hazards of materials they may encounter.</w:t>
      </w:r>
    </w:p>
    <w:p>
      <w:pPr>
        <w:pStyle w:val="ListBullet"/>
        <w:spacing w:after="60"/>
      </w:pPr>
      <w:r>
        <w:rPr>
          <w:rFonts w:ascii="Calibri" w:hAnsi="Calibri"/>
          <w:b w:val="0"/>
          <w:color w:val="455A64"/>
          <w:sz w:val="20"/>
        </w:rPr>
        <w:t>We participate in the GC's hazard communication program on multi-employer sites.</w:t>
      </w:r>
    </w:p>
    <w:p>
      <w:pPr>
        <w:keepNext/>
        <w:spacing w:before="160" w:after="80"/>
      </w:pPr>
      <w:r>
        <w:rPr>
          <w:rFonts w:ascii="Calibri" w:hAnsi="Calibri"/>
          <w:b/>
          <w:color w:val="2E7D32"/>
          <w:sz w:val="32"/>
        </w:rPr>
        <w:t>6.  Personal Protective Equipment</w:t>
      </w:r>
    </w:p>
    <w:p>
      <w:pPr>
        <w:keepNext/>
        <w:spacing w:before="0" w:after="200"/>
        <w:pBdr>
          <w:bottom w:val="single" w:sz="8" w:color="2E7D32"/>
        </w:pBdr>
      </w:pPr>
    </w:p>
    <w:p>
      <w:pPr>
        <w:spacing w:after="80"/>
      </w:pPr>
      <w:r>
        <w:rPr>
          <w:rFonts w:ascii="Calibri" w:hAnsi="Calibri"/>
          <w:b w:val="0"/>
          <w:i w:val="0"/>
          <w:color w:val="455A64"/>
          <w:sz w:val="20"/>
        </w:rPr>
        <w:t>All our personnel wear the following minimum PPE on every project site:</w:t>
      </w:r>
    </w:p>
    <w:p>
      <w:pPr>
        <w:pStyle w:val="ListBullet"/>
        <w:spacing w:after="60"/>
      </w:pPr>
      <w:r>
        <w:rPr>
          <w:rFonts w:ascii="Calibri" w:hAnsi="Calibri"/>
          <w:b w:val="0"/>
          <w:color w:val="455A64"/>
          <w:sz w:val="20"/>
        </w:rPr>
        <w:t>Hard hat (ANSI Z89.1)</w:t>
      </w:r>
    </w:p>
    <w:p>
      <w:pPr>
        <w:pStyle w:val="ListBullet"/>
        <w:spacing w:after="60"/>
      </w:pPr>
      <w:r>
        <w:rPr>
          <w:rFonts w:ascii="Calibri" w:hAnsi="Calibri"/>
          <w:b w:val="0"/>
          <w:color w:val="455A64"/>
          <w:sz w:val="20"/>
        </w:rPr>
        <w:t>Safety glasses (ANSI Z87.1)</w:t>
      </w:r>
    </w:p>
    <w:p>
      <w:pPr>
        <w:pStyle w:val="ListBullet"/>
        <w:spacing w:after="60"/>
      </w:pPr>
      <w:r>
        <w:rPr>
          <w:rFonts w:ascii="Calibri" w:hAnsi="Calibri"/>
          <w:b w:val="0"/>
          <w:color w:val="455A64"/>
          <w:sz w:val="20"/>
        </w:rPr>
        <w:t>High-visibility vest (ANSI Class 2)</w:t>
      </w:r>
    </w:p>
    <w:p>
      <w:pPr>
        <w:pStyle w:val="ListBullet"/>
        <w:spacing w:after="60"/>
      </w:pPr>
      <w:r>
        <w:rPr>
          <w:rFonts w:ascii="Calibri" w:hAnsi="Calibri"/>
          <w:b w:val="0"/>
          <w:color w:val="455A64"/>
          <w:sz w:val="20"/>
        </w:rPr>
        <w:t>Steel-toe or composite-toe boots (ASTM F2413)</w:t>
      </w:r>
    </w:p>
    <w:p>
      <w:pPr>
        <w:pStyle w:val="ListBullet"/>
        <w:spacing w:after="60"/>
      </w:pPr>
      <w:r>
        <w:rPr>
          <w:rFonts w:ascii="Calibri" w:hAnsi="Calibri"/>
          <w:b w:val="0"/>
          <w:color w:val="455A64"/>
          <w:sz w:val="20"/>
        </w:rPr>
        <w:t>Task-appropriate gloves</w:t>
      </w:r>
    </w:p>
    <w:p>
      <w:pPr>
        <w:pStyle w:val="ListBullet"/>
        <w:spacing w:after="60"/>
      </w:pPr>
      <w:r>
        <w:rPr>
          <w:rFonts w:ascii="Calibri" w:hAnsi="Calibri"/>
          <w:b w:val="0"/>
          <w:color w:val="455A64"/>
          <w:sz w:val="20"/>
        </w:rPr>
        <w:t>Hearing protection when noise exceeds 85 dB</w:t>
      </w:r>
    </w:p>
    <w:p>
      <w:pPr>
        <w:spacing w:after="200"/>
      </w:pPr>
      <w:r>
        <w:rPr>
          <w:rFonts w:ascii="Calibri" w:hAnsi="Calibri"/>
          <w:b w:val="0"/>
          <w:i w:val="0"/>
          <w:color w:val="455A64"/>
          <w:sz w:val="20"/>
        </w:rPr>
        <w:t>Additional PPE (face shields, respirators, fall arrest harnesses) is provided based on task-specific hazard assessments.</w:t>
      </w:r>
    </w:p>
    <w:p>
      <w:pPr>
        <w:keepNext/>
        <w:spacing w:before="160" w:after="80"/>
      </w:pPr>
      <w:r>
        <w:rPr>
          <w:rFonts w:ascii="Calibri" w:hAnsi="Calibri"/>
          <w:b/>
          <w:color w:val="2E7D32"/>
          <w:sz w:val="32"/>
        </w:rPr>
        <w:t>7.  Fall Protection</w:t>
      </w:r>
    </w:p>
    <w:p>
      <w:pPr>
        <w:keepNext/>
        <w:spacing w:before="0" w:after="200"/>
        <w:pBdr>
          <w:bottom w:val="single" w:sz="8" w:color="2E7D32"/>
        </w:pBdr>
      </w:pPr>
    </w:p>
    <w:p>
      <w:pPr>
        <w:pStyle w:val="ListBullet"/>
        <w:spacing w:after="60"/>
      </w:pPr>
      <w:r>
        <w:rPr>
          <w:rFonts w:ascii="Calibri" w:hAnsi="Calibri"/>
          <w:b w:val="0"/>
          <w:color w:val="455A64"/>
          <w:sz w:val="20"/>
        </w:rPr>
        <w:t>We maintain 100% fall protection for work at heights above 6 feet.</w:t>
      </w:r>
    </w:p>
    <w:p>
      <w:pPr>
        <w:pStyle w:val="ListBullet"/>
        <w:spacing w:after="60"/>
      </w:pPr>
      <w:r>
        <w:rPr>
          <w:rFonts w:ascii="Calibri" w:hAnsi="Calibri"/>
          <w:b w:val="0"/>
          <w:color w:val="455A64"/>
          <w:sz w:val="20"/>
        </w:rPr>
        <w:t>We inspect all ladders daily before use and remove damaged ladders immediately.</w:t>
      </w:r>
    </w:p>
    <w:p>
      <w:pPr>
        <w:pStyle w:val="ListBullet"/>
        <w:spacing w:after="60"/>
      </w:pPr>
      <w:r>
        <w:rPr>
          <w:rFonts w:ascii="Calibri" w:hAnsi="Calibri"/>
          <w:b w:val="0"/>
          <w:color w:val="455A64"/>
          <w:sz w:val="20"/>
        </w:rPr>
        <w:t>We require aerial lift training for all lift operators.</w:t>
      </w:r>
    </w:p>
    <w:p>
      <w:pPr>
        <w:pStyle w:val="ListBullet"/>
        <w:spacing w:after="60"/>
      </w:pPr>
      <w:r>
        <w:rPr>
          <w:rFonts w:ascii="Calibri" w:hAnsi="Calibri"/>
          <w:b w:val="0"/>
          <w:color w:val="455A64"/>
          <w:sz w:val="20"/>
        </w:rPr>
        <w:t>We use personal fall arrest systems (PFAS) when working from boom lifts or unprotected edges.</w:t>
      </w:r>
    </w:p>
    <w:p>
      <w:pPr>
        <w:pStyle w:val="ListBullet"/>
        <w:spacing w:after="60"/>
      </w:pPr>
      <w:r>
        <w:rPr>
          <w:rFonts w:ascii="Calibri" w:hAnsi="Calibri"/>
          <w:b w:val="0"/>
          <w:color w:val="455A64"/>
          <w:sz w:val="20"/>
        </w:rPr>
        <w:t>We inspect all fall protection equipment before each use and remove defective equipment from service.</w:t>
      </w:r>
    </w:p>
    <w:p>
      <w:pPr>
        <w:keepNext/>
        <w:spacing w:before="160" w:after="80"/>
      </w:pPr>
      <w:r>
        <w:rPr>
          <w:rFonts w:ascii="Calibri" w:hAnsi="Calibri"/>
          <w:b/>
          <w:color w:val="2E7D32"/>
          <w:sz w:val="32"/>
        </w:rPr>
        <w:t>8.  Electrical Safety</w:t>
      </w:r>
    </w:p>
    <w:p>
      <w:pPr>
        <w:keepNext/>
        <w:spacing w:before="0" w:after="200"/>
        <w:pBdr>
          <w:bottom w:val="single" w:sz="8" w:color="2E7D32"/>
        </w:pBdr>
      </w:pPr>
    </w:p>
    <w:p>
      <w:pPr>
        <w:pStyle w:val="ListBullet"/>
        <w:spacing w:after="60"/>
      </w:pPr>
      <w:r>
        <w:rPr>
          <w:rFonts w:ascii="Calibri" w:hAnsi="Calibri"/>
          <w:b w:val="0"/>
          <w:color w:val="455A64"/>
          <w:sz w:val="20"/>
        </w:rPr>
        <w:t>We verify circuits are de-energized before working in panels or junction boxes.</w:t>
      </w:r>
    </w:p>
    <w:p>
      <w:pPr>
        <w:pStyle w:val="ListBullet"/>
        <w:spacing w:after="60"/>
      </w:pPr>
      <w:r>
        <w:rPr>
          <w:rFonts w:ascii="Calibri" w:hAnsi="Calibri"/>
          <w:b w:val="0"/>
          <w:color w:val="455A64"/>
          <w:sz w:val="20"/>
        </w:rPr>
        <w:t>We use non-contact voltage testers before handling any conductor.</w:t>
      </w:r>
    </w:p>
    <w:p>
      <w:pPr>
        <w:pStyle w:val="ListBullet"/>
        <w:spacing w:after="60"/>
      </w:pPr>
      <w:r>
        <w:rPr>
          <w:rFonts w:ascii="Calibri" w:hAnsi="Calibri"/>
          <w:b w:val="0"/>
          <w:color w:val="455A64"/>
          <w:sz w:val="20"/>
        </w:rPr>
        <w:t>We follow lockout/tagout (LOTO) procedures when required.</w:t>
      </w:r>
    </w:p>
    <w:p>
      <w:pPr>
        <w:pStyle w:val="ListBullet"/>
        <w:spacing w:after="60"/>
      </w:pPr>
      <w:r>
        <w:rPr>
          <w:rFonts w:ascii="Calibri" w:hAnsi="Calibri"/>
          <w:b w:val="0"/>
          <w:color w:val="455A64"/>
          <w:sz w:val="20"/>
        </w:rPr>
        <w:t>We do not work on energized circuits above 50V.</w:t>
      </w:r>
    </w:p>
    <w:p>
      <w:pPr>
        <w:pStyle w:val="ListBullet"/>
        <w:spacing w:after="60"/>
      </w:pPr>
      <w:r>
        <w:rPr>
          <w:rFonts w:ascii="Calibri" w:hAnsi="Calibri"/>
          <w:b w:val="0"/>
          <w:color w:val="455A64"/>
          <w:sz w:val="20"/>
        </w:rPr>
        <w:t>We maintain minimum approach distances from exposed energized parts.</w:t>
      </w:r>
    </w:p>
    <w:p>
      <w:pPr>
        <w:keepNext/>
        <w:spacing w:before="160" w:after="80"/>
      </w:pPr>
      <w:r>
        <w:rPr>
          <w:rFonts w:ascii="Calibri" w:hAnsi="Calibri"/>
          <w:b/>
          <w:color w:val="2E7D32"/>
          <w:sz w:val="32"/>
        </w:rPr>
        <w:t>9.  Fire Prevention</w:t>
      </w:r>
    </w:p>
    <w:p>
      <w:pPr>
        <w:keepNext/>
        <w:spacing w:before="0" w:after="200"/>
        <w:pBdr>
          <w:bottom w:val="single" w:sz="8" w:color="2E7D32"/>
        </w:pBdr>
      </w:pPr>
    </w:p>
    <w:p>
      <w:pPr>
        <w:pStyle w:val="ListBullet"/>
        <w:spacing w:after="60"/>
      </w:pPr>
      <w:r>
        <w:rPr>
          <w:rFonts w:ascii="Calibri" w:hAnsi="Calibri"/>
          <w:b w:val="0"/>
          <w:color w:val="455A64"/>
          <w:sz w:val="20"/>
        </w:rPr>
        <w:t>We keep work areas free of combustible debris.</w:t>
      </w:r>
    </w:p>
    <w:p>
      <w:pPr>
        <w:pStyle w:val="ListBullet"/>
        <w:spacing w:after="60"/>
      </w:pPr>
      <w:r>
        <w:rPr>
          <w:rFonts w:ascii="Calibri" w:hAnsi="Calibri"/>
          <w:b w:val="0"/>
          <w:color w:val="455A64"/>
          <w:sz w:val="20"/>
        </w:rPr>
        <w:t>We maintain ABC fire extinguishers within 50 feet of our work areas.</w:t>
      </w:r>
    </w:p>
    <w:p>
      <w:pPr>
        <w:pStyle w:val="ListBullet"/>
        <w:spacing w:after="60"/>
      </w:pPr>
      <w:r>
        <w:rPr>
          <w:rFonts w:ascii="Calibri" w:hAnsi="Calibri"/>
          <w:b w:val="0"/>
          <w:color w:val="455A64"/>
          <w:sz w:val="20"/>
        </w:rPr>
        <w:t>We do not use open flame or hot work; if conditions require it, we obtain a hot work permit from the GC.</w:t>
      </w:r>
    </w:p>
    <w:p>
      <w:pPr>
        <w:pStyle w:val="ListBullet"/>
        <w:spacing w:after="60"/>
      </w:pPr>
      <w:r>
        <w:rPr>
          <w:rFonts w:ascii="Calibri" w:hAnsi="Calibri"/>
          <w:b w:val="0"/>
          <w:color w:val="455A64"/>
          <w:sz w:val="20"/>
        </w:rPr>
        <w:t>We dispose of all packaging and waste materials daily.</w:t>
      </w:r>
    </w:p>
    <w:p>
      <w:pPr>
        <w:keepNext/>
        <w:spacing w:before="160" w:after="80"/>
      </w:pPr>
      <w:r>
        <w:rPr>
          <w:rFonts w:ascii="Calibri" w:hAnsi="Calibri"/>
          <w:b/>
          <w:color w:val="2E7D32"/>
          <w:sz w:val="32"/>
        </w:rPr>
        <w:t>10.  Incident Reporting &amp; Investigation</w:t>
      </w:r>
    </w:p>
    <w:p>
      <w:pPr>
        <w:keepNext/>
        <w:spacing w:before="0" w:after="200"/>
        <w:pBdr>
          <w:bottom w:val="single" w:sz="8" w:color="2E7D32"/>
        </w:pBdr>
      </w:pPr>
    </w:p>
    <w:p>
      <w:pPr>
        <w:pStyle w:val="ListBullet"/>
        <w:spacing w:after="60"/>
      </w:pPr>
      <w:r>
        <w:rPr>
          <w:rFonts w:ascii="Calibri" w:hAnsi="Calibri"/>
          <w:b w:val="0"/>
          <w:color w:val="455A64"/>
          <w:sz w:val="20"/>
        </w:rPr>
        <w:t>We report all incidents (injuries, near-misses, property damage) to the GC immediately.</w:t>
      </w:r>
    </w:p>
    <w:p>
      <w:pPr>
        <w:pStyle w:val="ListBullet"/>
        <w:spacing w:after="60"/>
      </w:pPr>
      <w:r>
        <w:rPr>
          <w:rFonts w:ascii="Calibri" w:hAnsi="Calibri"/>
          <w:b w:val="0"/>
          <w:color w:val="455A64"/>
          <w:sz w:val="20"/>
        </w:rPr>
        <w:t>We conduct an internal investigation of every incident within 24 hours.</w:t>
      </w:r>
    </w:p>
    <w:p>
      <w:pPr>
        <w:pStyle w:val="ListBullet"/>
        <w:spacing w:after="60"/>
      </w:pPr>
      <w:r>
        <w:rPr>
          <w:rFonts w:ascii="Calibri" w:hAnsi="Calibri"/>
          <w:b w:val="0"/>
          <w:color w:val="455A64"/>
          <w:sz w:val="20"/>
        </w:rPr>
        <w:t>We document findings and corrective actions.</w:t>
      </w:r>
    </w:p>
    <w:p>
      <w:pPr>
        <w:pStyle w:val="ListBullet"/>
        <w:spacing w:after="60"/>
      </w:pPr>
      <w:r>
        <w:rPr>
          <w:rFonts w:ascii="Calibri" w:hAnsi="Calibri"/>
          <w:b w:val="0"/>
          <w:color w:val="455A64"/>
          <w:sz w:val="20"/>
        </w:rPr>
        <w:t>We maintain an incident log and provide copies to the GC on request.</w:t>
      </w:r>
    </w:p>
    <w:p>
      <w:pPr>
        <w:pStyle w:val="ListBullet"/>
        <w:spacing w:after="60"/>
      </w:pPr>
      <w:r>
        <w:rPr>
          <w:rFonts w:ascii="Calibri" w:hAnsi="Calibri"/>
          <w:b w:val="0"/>
          <w:color w:val="455A64"/>
          <w:sz w:val="20"/>
        </w:rPr>
        <w:t>We report all recordable incidents to OSHA as required.</w:t>
      </w:r>
    </w:p>
    <w:p>
      <w:pPr>
        <w:keepNext/>
        <w:spacing w:before="160" w:after="80"/>
      </w:pPr>
      <w:r>
        <w:rPr>
          <w:rFonts w:ascii="Calibri" w:hAnsi="Calibri"/>
          <w:b/>
          <w:color w:val="2E7D32"/>
          <w:sz w:val="32"/>
        </w:rPr>
        <w:t>11.  Drug &amp; Alcohol Policy</w:t>
      </w:r>
    </w:p>
    <w:p>
      <w:pPr>
        <w:keepNext/>
        <w:spacing w:before="0" w:after="200"/>
        <w:pBdr>
          <w:bottom w:val="single" w:sz="8" w:color="2E7D32"/>
        </w:pBdr>
      </w:pPr>
    </w:p>
    <w:p>
      <w:pPr>
        <w:pStyle w:val="ListBullet"/>
        <w:spacing w:after="60"/>
      </w:pPr>
      <w:r>
        <w:rPr>
          <w:rFonts w:ascii="Calibri" w:hAnsi="Calibri"/>
          <w:b w:val="0"/>
          <w:color w:val="455A64"/>
          <w:sz w:val="20"/>
        </w:rPr>
        <w:t>We require 10-panel drug screening for all employees (pre-employment and random).</w:t>
      </w:r>
    </w:p>
    <w:p>
      <w:pPr>
        <w:pStyle w:val="ListBullet"/>
        <w:spacing w:after="60"/>
      </w:pPr>
      <w:r>
        <w:rPr>
          <w:rFonts w:ascii="Calibri" w:hAnsi="Calibri"/>
          <w:b w:val="0"/>
          <w:color w:val="455A64"/>
          <w:sz w:val="20"/>
        </w:rPr>
        <w:t>We conduct post-incident drug testing following any recordable injury or near-miss.</w:t>
      </w:r>
    </w:p>
    <w:p>
      <w:pPr>
        <w:pStyle w:val="ListBullet"/>
        <w:spacing w:after="60"/>
      </w:pPr>
      <w:r>
        <w:rPr>
          <w:rFonts w:ascii="Calibri" w:hAnsi="Calibri"/>
          <w:b w:val="0"/>
          <w:color w:val="455A64"/>
          <w:sz w:val="20"/>
        </w:rPr>
        <w:t>We prohibit alcohol and illegal substances on all project sites.</w:t>
      </w:r>
    </w:p>
    <w:p>
      <w:pPr>
        <w:pStyle w:val="ListBullet"/>
        <w:spacing w:after="60"/>
      </w:pPr>
      <w:r>
        <w:rPr>
          <w:rFonts w:ascii="Calibri" w:hAnsi="Calibri"/>
          <w:b w:val="0"/>
          <w:color w:val="455A64"/>
          <w:sz w:val="20"/>
        </w:rPr>
        <w:t>Violations result in immediate removal from the project and disciplinary action.</w:t>
      </w:r>
    </w:p>
    <w:p>
      <w:pPr>
        <w:keepNext/>
        <w:spacing w:before="160" w:after="80"/>
      </w:pPr>
      <w:r>
        <w:rPr>
          <w:rFonts w:ascii="Calibri" w:hAnsi="Calibri"/>
          <w:b/>
          <w:color w:val="2E7D32"/>
          <w:sz w:val="32"/>
        </w:rPr>
        <w:t>12.  Disciplinary Policy</w:t>
      </w:r>
    </w:p>
    <w:p>
      <w:pPr>
        <w:keepNext/>
        <w:spacing w:before="0" w:after="200"/>
        <w:pBdr>
          <w:bottom w:val="single" w:sz="8" w:color="2E7D32"/>
        </w:pBdr>
      </w:pPr>
    </w:p>
    <w:p>
      <w:pPr>
        <w:spacing w:after="80"/>
      </w:pPr>
      <w:r>
        <w:rPr>
          <w:rFonts w:ascii="Calibri" w:hAnsi="Calibri"/>
          <w:b w:val="0"/>
          <w:i w:val="0"/>
          <w:color w:val="455A64"/>
          <w:sz w:val="20"/>
        </w:rPr>
        <w:t>We enforce safety through progressive discipline:</w:t>
      </w:r>
    </w:p>
    <w:p>
      <w:pPr>
        <w:pStyle w:val="ListBullet"/>
        <w:spacing w:after="60"/>
      </w:pPr>
      <w:r>
        <w:rPr>
          <w:rFonts w:ascii="Calibri" w:hAnsi="Calibri"/>
          <w:b w:val="0"/>
          <w:color w:val="455A64"/>
          <w:sz w:val="20"/>
        </w:rPr>
        <w:t>First violation: Verbal warning and retraining</w:t>
      </w:r>
    </w:p>
    <w:p>
      <w:pPr>
        <w:pStyle w:val="ListBullet"/>
        <w:spacing w:after="60"/>
      </w:pPr>
      <w:r>
        <w:rPr>
          <w:rFonts w:ascii="Calibri" w:hAnsi="Calibri"/>
          <w:b w:val="0"/>
          <w:color w:val="455A64"/>
          <w:sz w:val="20"/>
        </w:rPr>
        <w:t>Second violation: Written warning</w:t>
      </w:r>
    </w:p>
    <w:p>
      <w:pPr>
        <w:pStyle w:val="ListBullet"/>
        <w:spacing w:after="60"/>
      </w:pPr>
      <w:r>
        <w:rPr>
          <w:rFonts w:ascii="Calibri" w:hAnsi="Calibri"/>
          <w:b w:val="0"/>
          <w:color w:val="455A64"/>
          <w:sz w:val="20"/>
        </w:rPr>
        <w:t>Third violation: Removal from the project</w:t>
      </w:r>
    </w:p>
    <w:p>
      <w:pPr>
        <w:pStyle w:val="ListBullet"/>
        <w:spacing w:after="60"/>
      </w:pPr>
      <w:r>
        <w:rPr>
          <w:rFonts w:ascii="Calibri" w:hAnsi="Calibri"/>
          <w:b w:val="0"/>
          <w:color w:val="455A64"/>
          <w:sz w:val="20"/>
        </w:rPr>
        <w:t>Serious violation (imminent danger): Immediate removal from the project</w:t>
      </w:r>
    </w:p>
    <w:p>
      <w:pPr>
        <w:keepNext/>
        <w:spacing w:before="160" w:after="80"/>
      </w:pPr>
      <w:r>
        <w:rPr>
          <w:rFonts w:ascii="Calibri" w:hAnsi="Calibri"/>
          <w:b/>
          <w:color w:val="2E7D32"/>
          <w:sz w:val="32"/>
        </w:rPr>
        <w:t>13.  Stop-Work Authority</w:t>
      </w:r>
    </w:p>
    <w:p>
      <w:pPr>
        <w:keepNext/>
        <w:spacing w:before="0" w:after="200"/>
        <w:pBdr>
          <w:bottom w:val="single" w:sz="8" w:color="2E7D32"/>
        </w:pBdr>
      </w:pPr>
    </w:p>
    <w:p>
      <w:pPr>
        <w:spacing w:after="80"/>
      </w:pPr>
      <w:r>
        <w:rPr>
          <w:rFonts w:ascii="Calibri" w:hAnsi="Calibri"/>
          <w:b w:val="0"/>
          <w:i w:val="0"/>
          <w:color w:val="455A64"/>
          <w:sz w:val="20"/>
        </w:rPr>
        <w:t>Every member of our team has the authority and obligation to stop work immediately when they observe an unsafe condition or act. We do not retaliate against any worker who exercises stop-work authority. Work does not resume until the hazard is corrected.</w:t>
      </w:r>
    </w:p>
    <w:p>
      <w:pPr>
        <w:spacing w:before="280" w:after="80"/>
      </w:pPr>
    </w:p>
    <w:p>
      <w:pPr>
        <w:pBdr>
          <w:bottom w:val="single" w:sz="12" w:color="2E7D32"/>
        </w:pBdr>
      </w:pPr>
    </w:p>
    <w:p>
      <w:pPr>
        <w:spacing w:after="0"/>
        <w:jc w:val="center"/>
      </w:pPr>
      <w:r>
        <w:rPr>
          <w:rFonts w:ascii="Calibri" w:hAnsi="Calibri"/>
          <w:b w:val="0"/>
          <w:i/>
          <w:color w:val="455A64"/>
          <w:sz w:val="18"/>
        </w:rPr>
        <w:t>Prepared by: GCC Estimating Department  ·  Contact: kaitlyn@greencommllc.com  ·  (636) 224-8192</w:t>
      </w:r>
    </w:p>
    <w:sectPr w:rsidR="00FC693F" w:rsidRPr="0006063C" w:rsidSect="00034616">
      <w:headerReference w:type="default" r:id="rId9"/>
      <w:footerReference w:type="default" r:id="rId10"/>
      <w:pgSz w:w="12240" w:h="15840"/>
      <w:pgMar w:top="1296" w:right="1080" w:bottom="1152"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7920"/>
      <w:gridCol w:w="2160"/>
    </w:tblGrid>
    <w:tr>
      <w:tc>
        <w:tcPr>
          <w:tcW w:type="dxa" w:w="5040"/>
          <w:tcBorders>
            <w:top w:val="nil"/>
            <w:left w:val="nil"/>
            <w:bottom w:val="nil"/>
            <w:right w:val="nil"/>
          </w:tcBorders>
        </w:tcPr>
        <w:p>
          <w:pPr>
            <w:jc w:val="left"/>
          </w:pPr>
          <w:r>
            <w:rPr>
              <w:rFonts w:ascii="Calibri" w:hAnsi="Calibri"/>
              <w:i/>
              <w:color w:val="455A64"/>
              <w:sz w:val="16"/>
            </w:rPr>
            <w:t>GCC LLC   ·   Proprietary &amp; Confidential   ·   Licensed &amp; Insured   ·   KCMO &amp; STL</w:t>
          </w:r>
        </w:p>
      </w:tc>
      <w:tc>
        <w:tcPr>
          <w:tcW w:type="dxa" w:w="5040"/>
          <w:tcBorders>
            <w:top w:val="nil"/>
            <w:left w:val="nil"/>
            <w:bottom w:val="nil"/>
            <w:right w:val="nil"/>
          </w:tcBorders>
        </w:tcPr>
        <w:p>
          <w:pPr>
            <w:jc w:val="right"/>
          </w:pPr>
          <w:r>
            <w:rPr>
              <w:rFonts w:ascii="Calibri" w:hAnsi="Calibri"/>
              <w:color w:val="455A64"/>
              <w:sz w:val="16"/>
            </w:rPr>
            <w:t xml:space="preserve">Page </w:t>
          </w:r>
          <w:r>
            <w:rPr>
              <w:rFonts w:ascii="Calibri" w:hAnsi="Calibri"/>
              <w:color w:val="455A64"/>
              <w:sz w:val="16"/>
            </w:rPr>
            <w:fldChar w:fldCharType="begin"/>
            <w:instrText xml:space="preserve">PAGE</w:instrText>
            <w:fldChar w:fldCharType="end"/>
          </w:r>
          <w:r>
            <w:rPr>
              <w:rFonts w:ascii="Calibri" w:hAnsi="Calibri"/>
              <w:color w:val="455A64"/>
              <w:sz w:val="16"/>
            </w:rPr>
            <w:t xml:space="preserve"> of </w:t>
          </w:r>
          <w:r>
            <w:rPr>
              <w:rFonts w:ascii="Calibri" w:hAnsi="Calibri"/>
              <w:color w:val="455A64"/>
              <w:sz w:val="16"/>
            </w:rPr>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5616"/>
      <w:gridCol w:w="4320"/>
    </w:tblGrid>
    <w:tr>
      <w:tc>
        <w:tcPr>
          <w:tcW w:type="dxa" w:w="5616"/>
          <w:tcBorders>
            <w:top w:val="nil"/>
            <w:left w:val="nil"/>
            <w:bottom w:val="nil"/>
            <w:right w:val="nil"/>
          </w:tcBorders>
        </w:tcPr>
        <w:p>
          <w:pPr>
            <w:jc w:val="left"/>
          </w:pPr>
          <w:r>
            <w:drawing>
              <wp:inline xmlns:a="http://schemas.openxmlformats.org/drawingml/2006/main" xmlns:pic="http://schemas.openxmlformats.org/drawingml/2006/picture">
                <wp:extent cx="548640" cy="548640"/>
                <wp:docPr id="1" name="Picture 1"/>
                <wp:cNvGraphicFramePr>
                  <a:graphicFrameLocks noChangeAspect="1"/>
                </wp:cNvGraphicFramePr>
                <a:graphic>
                  <a:graphicData uri="http://schemas.openxmlformats.org/drawingml/2006/picture">
                    <pic:pic>
                      <pic:nvPicPr>
                        <pic:cNvPr id="0" name="gcc logo only.png"/>
                        <pic:cNvPicPr/>
                      </pic:nvPicPr>
                      <pic:blipFill>
                        <a:blip r:embed="rId1"/>
                        <a:stretch>
                          <a:fillRect/>
                        </a:stretch>
                      </pic:blipFill>
                      <pic:spPr>
                        <a:xfrm>
                          <a:off x="0" y="0"/>
                          <a:ext cx="548640" cy="548640"/>
                        </a:xfrm>
                        <a:prstGeom prst="rect"/>
                      </pic:spPr>
                    </pic:pic>
                  </a:graphicData>
                </a:graphic>
              </wp:inline>
            </w:drawing>
          </w:r>
        </w:p>
      </w:tc>
      <w:tc>
        <w:tcPr>
          <w:tcW w:type="dxa" w:w="4320"/>
          <w:tcBorders>
            <w:top w:val="nil"/>
            <w:left w:val="nil"/>
            <w:bottom w:val="nil"/>
            <w:right w:val="nil"/>
          </w:tcBorders>
        </w:tcPr>
        <w:p/>
      </w:tc>
    </w:tr>
  </w:tbl>
  <w:p>
    <w:pPr>
      <w:spacing w:before="80" w:after="0"/>
      <w:pBdr>
        <w:bottom w:val="single" w:sz="12" w:color="2E7D32"/>
      </w:pBdr>
    </w:pPr>
  </w:p>
  <w:p>
    <w:pPr>
      <w:jc w:val="right"/>
    </w:pPr>
    <w:r>
      <w:rPr>
        <w:rFonts w:ascii="Calibri" w:hAnsi="Calibri"/>
        <w:i/>
        <w:color w:val="2E7D32"/>
        <w:sz w:val="18"/>
      </w:rPr>
      <w:t>Low-Voltage Div 27/28 Contractor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