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2E7D32"/>
          <w:sz w:val="36"/>
        </w:rPr>
        <w:t>Site-Specific Safety Plan (SSSP)</w:t>
      </w:r>
    </w:p>
    <w:p>
      <w:pPr>
        <w:spacing w:after="200"/>
        <w:jc w:val="center"/>
      </w:pPr>
      <w:r>
        <w:rPr>
          <w:rFonts w:ascii="Calibri" w:hAnsi="Calibri"/>
          <w:i/>
          <w:color w:val="455A64"/>
          <w:sz w:val="22"/>
        </w:rPr>
        <w:t>{{PROJECT_NAME}}  —  {{PROJECT_ADDRESS}}</w:t>
      </w:r>
    </w:p>
    <w:p>
      <w:pPr>
        <w:pBdr>
          <w:bottom w:val="single" w:sz="12" w:color="2E7D32"/>
        </w:pBdr>
      </w:pPr>
    </w:p>
    <w:p>
      <w:pPr>
        <w:keepNext/>
        <w:spacing w:before="160" w:after="80"/>
      </w:pPr>
      <w:r>
        <w:rPr>
          <w:rFonts w:ascii="Calibri" w:hAnsi="Calibri"/>
          <w:b/>
          <w:color w:val="2E7D32"/>
          <w:sz w:val="32"/>
        </w:rPr>
        <w:t>1.  Project Information</w:t>
      </w:r>
    </w:p>
    <w:p>
      <w:pPr>
        <w:keepNext/>
        <w:spacing w:before="0" w:after="200"/>
        <w:pBdr>
          <w:bottom w:val="single" w:sz="8" w:color="2E7D32"/>
        </w:pBdr>
      </w:pPr>
    </w:p>
    <w:tbl>
      <w:tblPr>
        <w:tblW w:type="auto" w:w="0"/>
        <w:tblLayout w:type="fixed"/>
        <w:tblLook w:firstColumn="1" w:firstRow="1" w:lastColumn="0" w:lastRow="0" w:noHBand="0" w:noVBand="1" w:val="04A0"/>
      </w:tblPr>
      <w:tblGrid>
        <w:gridCol w:w="2880"/>
        <w:gridCol w:w="7056"/>
      </w:tblGrid>
      <w:tr>
        <w:trPr>
          <w:cantSplit/>
          <w:tblHeader/>
        </w:trPr>
        <w:tc>
          <w:tcPr>
            <w:tcW w:type="dxa" w:w="2880"/>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Field</w:t>
            </w:r>
          </w:p>
        </w:tc>
        <w:tc>
          <w:tcPr>
            <w:tcW w:type="dxa" w:w="7056"/>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Detail</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Project</w:t>
            </w:r>
          </w:p>
        </w:tc>
        <w:tc>
          <w:tcPr>
            <w:tcW w:type="dxa" w:w="705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{{PROJECT_NAME}}</w:t>
            </w:r>
          </w:p>
        </w:tc>
      </w:tr>
      <w:tr>
        <w:trPr>
          <w:cantSplit/>
        </w:trPr>
        <w:tc>
          <w:tcPr>
            <w:tcW w:type="dxa" w:w="2880"/>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Location</w:t>
            </w:r>
          </w:p>
        </w:tc>
        <w:tc>
          <w:tcPr>
            <w:tcW w:type="dxa" w:w="705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{{PROJECT_ADDRESS}}</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General Contractor</w:t>
            </w:r>
          </w:p>
        </w:tc>
        <w:tc>
          <w:tcPr>
            <w:tcW w:type="dxa" w:w="705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{{GC_NAME}}</w:t>
            </w:r>
          </w:p>
        </w:tc>
      </w:tr>
      <w:tr>
        <w:trPr>
          <w:cantSplit/>
        </w:trPr>
        <w:tc>
          <w:tcPr>
            <w:tcW w:type="dxa" w:w="2880"/>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GCC Scope</w:t>
            </w:r>
          </w:p>
        </w:tc>
        <w:tc>
          <w:tcPr>
            <w:tcW w:type="dxa" w:w="705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Division 27 (Low-Voltage Communications) / Division 28 (Electronic Safety &amp; Security)</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Start Date</w:t>
            </w:r>
          </w:p>
        </w:tc>
        <w:tc>
          <w:tcPr>
            <w:tcW w:type="dxa" w:w="705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{{START_DATE}}</w:t>
            </w:r>
          </w:p>
        </w:tc>
      </w:tr>
      <w:tr>
        <w:trPr>
          <w:cantSplit/>
        </w:trPr>
        <w:tc>
          <w:tcPr>
            <w:tcW w:type="dxa" w:w="2880"/>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Estimated Duration</w:t>
            </w:r>
          </w:p>
        </w:tc>
        <w:tc>
          <w:tcPr>
            <w:tcW w:type="dxa" w:w="705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{{DURATION}}</w:t>
            </w:r>
          </w:p>
        </w:tc>
      </w:tr>
      <w:tr>
        <w:trPr>
          <w:cantSplit/>
        </w:trPr>
        <w:tc>
          <w:tcPr>
            <w:tcW w:type="dxa" w:w="288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GCC Site Supervisor</w:t>
            </w:r>
          </w:p>
        </w:tc>
        <w:tc>
          <w:tcPr>
            <w:tcW w:type="dxa" w:w="7056"/>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Nathan Morris, Director of Operations</w:t>
            </w:r>
          </w:p>
        </w:tc>
      </w:tr>
      <w:tr>
        <w:trPr>
          <w:cantSplit/>
        </w:trPr>
        <w:tc>
          <w:tcPr>
            <w:tcW w:type="dxa" w:w="2880"/>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GCC Safety Contact</w:t>
            </w:r>
          </w:p>
        </w:tc>
        <w:tc>
          <w:tcPr>
            <w:tcW w:type="dxa" w:w="7056"/>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Kaitlyn Morris, CEO — (636) 224-8192</w:t>
            </w:r>
          </w:p>
        </w:tc>
      </w:tr>
    </w:tbl>
    <w:p>
      <w:pPr>
        <w:spacing w:after="120"/>
      </w:pPr>
    </w:p>
    <w:p>
      <w:pPr>
        <w:keepNext/>
        <w:spacing w:before="160" w:after="80"/>
      </w:pPr>
      <w:r>
        <w:rPr>
          <w:rFonts w:ascii="Calibri" w:hAnsi="Calibri"/>
          <w:b/>
          <w:color w:val="2E7D32"/>
          <w:sz w:val="32"/>
        </w:rPr>
        <w:t>2.  Emergency Contacts</w:t>
      </w:r>
    </w:p>
    <w:p>
      <w:pPr>
        <w:keepNext/>
        <w:spacing w:before="0" w:after="200"/>
        <w:pBdr>
          <w:bottom w:val="single" w:sz="8" w:color="2E7D32"/>
        </w:pBdr>
      </w:pPr>
    </w:p>
    <w:tbl>
      <w:tblPr>
        <w:tblW w:type="auto" w:w="0"/>
        <w:tblLayout w:type="fixed"/>
        <w:tblLook w:firstColumn="1" w:firstRow="1" w:lastColumn="0" w:lastRow="0" w:noHBand="0" w:noVBand="1" w:val="04A0"/>
      </w:tblPr>
      <w:tblGrid>
        <w:gridCol w:w="3024"/>
        <w:gridCol w:w="3888"/>
        <w:gridCol w:w="3024"/>
      </w:tblGrid>
      <w:tr>
        <w:trPr>
          <w:cantSplit/>
          <w:tblHeader/>
        </w:trPr>
        <w:tc>
          <w:tcPr>
            <w:tcW w:type="dxa" w:w="3024"/>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Contact</w:t>
            </w:r>
          </w:p>
        </w:tc>
        <w:tc>
          <w:tcPr>
            <w:tcW w:type="dxa" w:w="3888"/>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Name</w:t>
            </w:r>
          </w:p>
        </w:tc>
        <w:tc>
          <w:tcPr>
            <w:tcW w:type="dxa" w:w="3024"/>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Phone</w:t>
            </w:r>
          </w:p>
        </w:tc>
      </w:tr>
      <w:tr>
        <w:trPr>
          <w:cantSplit/>
        </w:trPr>
        <w:tc>
          <w:tcPr>
            <w:tcW w:type="dxa" w:w="302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GCC Safety Officer</w:t>
            </w:r>
          </w:p>
        </w:tc>
        <w:tc>
          <w:tcPr>
            <w:tcW w:type="dxa" w:w="388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Kaitlyn Morris</w:t>
            </w:r>
          </w:p>
        </w:tc>
        <w:tc>
          <w:tcPr>
            <w:tcW w:type="dxa" w:w="302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(636) 224-8192</w:t>
            </w:r>
          </w:p>
        </w:tc>
      </w:tr>
      <w:tr>
        <w:trPr>
          <w:cantSplit/>
        </w:trPr>
        <w:tc>
          <w:tcPr>
            <w:tcW w:type="dxa" w:w="302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GCC Field Supervisor</w:t>
            </w:r>
          </w:p>
        </w:tc>
        <w:tc>
          <w:tcPr>
            <w:tcW w:type="dxa" w:w="388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Nathan Morris</w:t>
            </w:r>
          </w:p>
        </w:tc>
        <w:tc>
          <w:tcPr>
            <w:tcW w:type="dxa" w:w="302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(636) 224-8192</w:t>
            </w:r>
          </w:p>
        </w:tc>
      </w:tr>
      <w:tr>
        <w:trPr>
          <w:cantSplit/>
        </w:trPr>
        <w:tc>
          <w:tcPr>
            <w:tcW w:type="dxa" w:w="302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Emergency Services</w:t>
            </w:r>
          </w:p>
        </w:tc>
        <w:tc>
          <w:tcPr>
            <w:tcW w:type="dxa" w:w="388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911</w:t>
            </w:r>
          </w:p>
        </w:tc>
        <w:tc>
          <w:tcPr>
            <w:tcW w:type="dxa" w:w="302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911</w:t>
            </w:r>
          </w:p>
        </w:tc>
      </w:tr>
      <w:tr>
        <w:trPr>
          <w:cantSplit/>
        </w:trPr>
        <w:tc>
          <w:tcPr>
            <w:tcW w:type="dxa" w:w="302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Nearest Hospital</w:t>
            </w:r>
          </w:p>
        </w:tc>
        <w:tc>
          <w:tcPr>
            <w:tcW w:type="dxa" w:w="3888"/>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{{HOSPITAL_NAME}}</w:t>
            </w:r>
          </w:p>
        </w:tc>
        <w:tc>
          <w:tcPr>
            <w:tcW w:type="dxa" w:w="302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{{HOSPITAL_PHONE}}</w:t>
            </w:r>
          </w:p>
        </w:tc>
      </w:tr>
      <w:tr>
        <w:trPr>
          <w:cantSplit/>
        </w:trPr>
        <w:tc>
          <w:tcPr>
            <w:tcW w:type="dxa" w:w="302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Poison Control</w:t>
            </w:r>
          </w:p>
        </w:tc>
        <w:tc>
          <w:tcPr>
            <w:tcW w:type="dxa" w:w="3888"/>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National</w:t>
            </w:r>
          </w:p>
        </w:tc>
        <w:tc>
          <w:tcPr>
            <w:tcW w:type="dxa" w:w="302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1-800-222-1222</w:t>
            </w:r>
          </w:p>
        </w:tc>
      </w:tr>
    </w:tbl>
    <w:p>
      <w:pPr>
        <w:spacing w:after="120"/>
      </w:pPr>
    </w:p>
    <w:p>
      <w:pPr>
        <w:keepNext/>
        <w:spacing w:before="160" w:after="80"/>
      </w:pPr>
      <w:r>
        <w:rPr>
          <w:rFonts w:ascii="Calibri" w:hAnsi="Calibri"/>
          <w:b/>
          <w:color w:val="2E7D32"/>
          <w:sz w:val="32"/>
        </w:rPr>
        <w:t>3.  Scope of Work</w:t>
      </w:r>
    </w:p>
    <w:p>
      <w:pPr>
        <w:keepNext/>
        <w:spacing w:before="0" w:after="200"/>
        <w:pBdr>
          <w:bottom w:val="single" w:sz="8" w:color="2E7D32"/>
        </w:pBdr>
      </w:pPr>
    </w:p>
    <w:p>
      <w:pPr>
        <w:spacing w:after="80"/>
      </w:pPr>
      <w:r>
        <w:rPr>
          <w:rFonts w:ascii="Calibri" w:hAnsi="Calibri"/>
          <w:b w:val="0"/>
          <w:i w:val="0"/>
          <w:color w:val="455A64"/>
          <w:sz w:val="20"/>
        </w:rPr>
        <w:t>We perform Division 27/28 low-voltage installation including:</w:t>
      </w:r>
    </w:p>
    <w:p>
      <w:pPr>
        <w:pStyle w:val="ListBullet"/>
        <w:spacing w:after="60"/>
      </w:pPr>
      <w:r>
        <w:rPr>
          <w:rFonts w:ascii="Calibri" w:hAnsi="Calibri"/>
          <w:b w:val="0"/>
          <w:color w:val="455A64"/>
          <w:sz w:val="20"/>
        </w:rPr>
        <w:t>Structured cabling (Cat6A plenum) — horizontal and backbone</w:t>
      </w:r>
    </w:p>
    <w:p>
      <w:pPr>
        <w:pStyle w:val="ListBullet"/>
        <w:spacing w:after="60"/>
      </w:pPr>
      <w:r>
        <w:rPr>
          <w:rFonts w:ascii="Calibri" w:hAnsi="Calibri"/>
          <w:b w:val="0"/>
          <w:color w:val="455A64"/>
          <w:sz w:val="20"/>
        </w:rPr>
        <w:t>Fiber optic cabling (OM3 / OS2) — splicing, termination, testing</w:t>
      </w:r>
    </w:p>
    <w:p>
      <w:pPr>
        <w:pStyle w:val="ListBullet"/>
        <w:spacing w:after="60"/>
      </w:pPr>
      <w:r>
        <w:rPr>
          <w:rFonts w:ascii="Calibri" w:hAnsi="Calibri"/>
          <w:b w:val="0"/>
          <w:color w:val="455A64"/>
          <w:sz w:val="20"/>
        </w:rPr>
        <w:t>Telecom room buildout — racks, cable management, grounding, labeling</w:t>
      </w:r>
    </w:p>
    <w:p>
      <w:pPr>
        <w:pStyle w:val="ListBullet"/>
        <w:spacing w:after="60"/>
      </w:pPr>
      <w:r>
        <w:rPr>
          <w:rFonts w:ascii="Calibri" w:hAnsi="Calibri"/>
          <w:b w:val="0"/>
          <w:color w:val="455A64"/>
          <w:sz w:val="20"/>
        </w:rPr>
        <w:t>Cable pathway installation — cable tray, J-hooks, ladder rack</w:t>
      </w:r>
    </w:p>
    <w:p>
      <w:pPr>
        <w:pStyle w:val="ListBullet"/>
        <w:spacing w:after="60"/>
      </w:pPr>
      <w:r>
        <w:rPr>
          <w:rFonts w:ascii="Calibri" w:hAnsi="Calibri"/>
          <w:b w:val="0"/>
          <w:color w:val="455A64"/>
          <w:sz w:val="20"/>
        </w:rPr>
        <w:t>Security device mounting — access control readers, cameras, contacts</w:t>
      </w:r>
    </w:p>
    <w:p>
      <w:pPr>
        <w:pStyle w:val="ListBullet"/>
        <w:spacing w:after="60"/>
      </w:pPr>
      <w:r>
        <w:rPr>
          <w:rFonts w:ascii="Calibri" w:hAnsi="Calibri"/>
          <w:b w:val="0"/>
          <w:color w:val="455A64"/>
          <w:sz w:val="20"/>
        </w:rPr>
        <w:t>WAP and AV device mounting</w:t>
      </w:r>
    </w:p>
    <w:p>
      <w:pPr>
        <w:pStyle w:val="ListBullet"/>
        <w:spacing w:after="60"/>
      </w:pPr>
      <w:r>
        <w:rPr>
          <w:rFonts w:ascii="Calibri" w:hAnsi="Calibri"/>
          <w:b w:val="0"/>
          <w:color w:val="455A64"/>
          <w:sz w:val="20"/>
        </w:rPr>
        <w:t>Fluke certification testing on all installed links</w:t>
      </w:r>
    </w:p>
    <w:p>
      <w:pPr>
        <w:keepNext/>
        <w:spacing w:before="160" w:after="80"/>
      </w:pPr>
      <w:r>
        <w:rPr>
          <w:rFonts w:ascii="Calibri" w:hAnsi="Calibri"/>
          <w:b/>
          <w:color w:val="2E7D32"/>
          <w:sz w:val="32"/>
        </w:rPr>
        <w:t>4.  Hazard Assessment</w:t>
      </w:r>
    </w:p>
    <w:p>
      <w:pPr>
        <w:keepNext/>
        <w:spacing w:before="0" w:after="200"/>
        <w:pBdr>
          <w:bottom w:val="single" w:sz="8" w:color="2E7D32"/>
        </w:pBdr>
      </w:pPr>
    </w:p>
    <w:p>
      <w:pPr>
        <w:spacing w:after="80"/>
      </w:pPr>
      <w:r>
        <w:rPr>
          <w:rFonts w:ascii="Calibri" w:hAnsi="Calibri"/>
          <w:b w:val="0"/>
          <w:i w:val="0"/>
          <w:color w:val="455A64"/>
          <w:sz w:val="20"/>
        </w:rPr>
        <w:t>We have identified the following hazards for our scope:</w:t>
      </w:r>
    </w:p>
    <w:p>
      <w:pPr>
        <w:pStyle w:val="ListBullet"/>
        <w:spacing w:after="60"/>
      </w:pPr>
      <w:r>
        <w:rPr>
          <w:rFonts w:ascii="Calibri" w:hAnsi="Calibri"/>
          <w:b w:val="0"/>
          <w:color w:val="455A64"/>
          <w:sz w:val="20"/>
        </w:rPr>
        <w:t>Fall hazards — Working from ladders, lifts, and above-ceiling areas</w:t>
      </w:r>
    </w:p>
    <w:p>
      <w:pPr>
        <w:pStyle w:val="ListBullet"/>
        <w:spacing w:after="60"/>
      </w:pPr>
      <w:r>
        <w:rPr>
          <w:rFonts w:ascii="Calibri" w:hAnsi="Calibri"/>
          <w:b w:val="0"/>
          <w:color w:val="455A64"/>
          <w:sz w:val="20"/>
        </w:rPr>
        <w:t>Electrical hazards — Proximity to live circuits during cable routing</w:t>
      </w:r>
    </w:p>
    <w:p>
      <w:pPr>
        <w:pStyle w:val="ListBullet"/>
        <w:spacing w:after="60"/>
      </w:pPr>
      <w:r>
        <w:rPr>
          <w:rFonts w:ascii="Calibri" w:hAnsi="Calibri"/>
          <w:b w:val="0"/>
          <w:color w:val="455A64"/>
          <w:sz w:val="20"/>
        </w:rPr>
        <w:t>Struck-by hazards — Overhead work, falling tools / materials</w:t>
      </w:r>
    </w:p>
    <w:p>
      <w:pPr>
        <w:pStyle w:val="ListBullet"/>
        <w:spacing w:after="60"/>
      </w:pPr>
      <w:r>
        <w:rPr>
          <w:rFonts w:ascii="Calibri" w:hAnsi="Calibri"/>
          <w:b w:val="0"/>
          <w:color w:val="455A64"/>
          <w:sz w:val="20"/>
        </w:rPr>
        <w:t>Ergonomic hazards — Repetitive cable pulling, overhead termination work</w:t>
      </w:r>
    </w:p>
    <w:p>
      <w:pPr>
        <w:pStyle w:val="ListBullet"/>
        <w:spacing w:after="60"/>
      </w:pPr>
      <w:r>
        <w:rPr>
          <w:rFonts w:ascii="Calibri" w:hAnsi="Calibri"/>
          <w:b w:val="0"/>
          <w:color w:val="455A64"/>
          <w:sz w:val="20"/>
        </w:rPr>
        <w:t>Cut / puncture hazards — Cable stripping, conduit cutting, sharp edges</w:t>
      </w:r>
    </w:p>
    <w:p>
      <w:pPr>
        <w:pStyle w:val="ListBullet"/>
        <w:spacing w:after="60"/>
      </w:pPr>
      <w:r>
        <w:rPr>
          <w:rFonts w:ascii="Calibri" w:hAnsi="Calibri"/>
          <w:b w:val="0"/>
          <w:color w:val="455A64"/>
          <w:sz w:val="20"/>
        </w:rPr>
        <w:t>Dust / debris — Drilling, coring, above-ceiling work</w:t>
      </w:r>
    </w:p>
    <w:p>
      <w:pPr>
        <w:keepNext/>
        <w:spacing w:before="160" w:after="80"/>
      </w:pPr>
      <w:r>
        <w:rPr>
          <w:rFonts w:ascii="Calibri" w:hAnsi="Calibri"/>
          <w:b/>
          <w:color w:val="2E7D32"/>
          <w:sz w:val="32"/>
        </w:rPr>
        <w:t>5.  Personal Protective Equipment (PPE)</w:t>
      </w:r>
    </w:p>
    <w:p>
      <w:pPr>
        <w:keepNext/>
        <w:spacing w:before="0" w:after="200"/>
        <w:pBdr>
          <w:bottom w:val="single" w:sz="8" w:color="2E7D32"/>
        </w:pBdr>
      </w:pPr>
    </w:p>
    <w:p>
      <w:pPr>
        <w:spacing w:after="80"/>
      </w:pPr>
      <w:r>
        <w:rPr>
          <w:rFonts w:ascii="Calibri" w:hAnsi="Calibri"/>
          <w:b w:val="0"/>
          <w:i w:val="0"/>
          <w:color w:val="455A64"/>
          <w:sz w:val="20"/>
        </w:rPr>
        <w:t>All our personnel wear the following PPE at all times on site:</w:t>
      </w:r>
    </w:p>
    <w:p>
      <w:pPr>
        <w:pStyle w:val="ListBullet"/>
        <w:spacing w:after="60"/>
      </w:pPr>
      <w:r>
        <w:rPr>
          <w:rFonts w:ascii="Calibri" w:hAnsi="Calibri"/>
          <w:b w:val="0"/>
          <w:color w:val="455A64"/>
          <w:sz w:val="20"/>
        </w:rPr>
        <w:t>Hard hat (ANSI Z89.1)</w:t>
      </w:r>
    </w:p>
    <w:p>
      <w:pPr>
        <w:pStyle w:val="ListBullet"/>
        <w:spacing w:after="60"/>
      </w:pPr>
      <w:r>
        <w:rPr>
          <w:rFonts w:ascii="Calibri" w:hAnsi="Calibri"/>
          <w:b w:val="0"/>
          <w:color w:val="455A64"/>
          <w:sz w:val="20"/>
        </w:rPr>
        <w:t>Safety glasses (ANSI Z87.1)</w:t>
      </w:r>
    </w:p>
    <w:p>
      <w:pPr>
        <w:pStyle w:val="ListBullet"/>
        <w:spacing w:after="60"/>
      </w:pPr>
      <w:r>
        <w:rPr>
          <w:rFonts w:ascii="Calibri" w:hAnsi="Calibri"/>
          <w:b w:val="0"/>
          <w:color w:val="455A64"/>
          <w:sz w:val="20"/>
        </w:rPr>
        <w:t>High-visibility vest (ANSI Class 2 minimum)</w:t>
      </w:r>
    </w:p>
    <w:p>
      <w:pPr>
        <w:pStyle w:val="ListBullet"/>
        <w:spacing w:after="60"/>
      </w:pPr>
      <w:r>
        <w:rPr>
          <w:rFonts w:ascii="Calibri" w:hAnsi="Calibri"/>
          <w:b w:val="0"/>
          <w:color w:val="455A64"/>
          <w:sz w:val="20"/>
        </w:rPr>
        <w:t>Steel-toe or composite-toe boots (ASTM F2413)</w:t>
      </w:r>
    </w:p>
    <w:p>
      <w:pPr>
        <w:pStyle w:val="ListBullet"/>
        <w:spacing w:after="60"/>
      </w:pPr>
      <w:r>
        <w:rPr>
          <w:rFonts w:ascii="Calibri" w:hAnsi="Calibri"/>
          <w:b w:val="0"/>
          <w:color w:val="455A64"/>
          <w:sz w:val="20"/>
        </w:rPr>
        <w:t>Gloves appropriate to the task</w:t>
      </w:r>
    </w:p>
    <w:p>
      <w:pPr>
        <w:pStyle w:val="ListBullet"/>
        <w:spacing w:after="60"/>
      </w:pPr>
      <w:r>
        <w:rPr>
          <w:rFonts w:ascii="Calibri" w:hAnsi="Calibri"/>
          <w:b w:val="0"/>
          <w:color w:val="455A64"/>
          <w:sz w:val="20"/>
        </w:rPr>
        <w:t>Hearing protection when noise exceeds 85 dB</w:t>
      </w:r>
    </w:p>
    <w:p>
      <w:pPr>
        <w:keepNext/>
        <w:spacing w:before="160" w:after="80"/>
      </w:pPr>
      <w:r>
        <w:rPr>
          <w:rFonts w:ascii="Calibri" w:hAnsi="Calibri"/>
          <w:b/>
          <w:color w:val="2E7D32"/>
          <w:sz w:val="32"/>
        </w:rPr>
        <w:t>6.  Fall Protection</w:t>
      </w:r>
    </w:p>
    <w:p>
      <w:pPr>
        <w:keepNext/>
        <w:spacing w:before="0" w:after="200"/>
        <w:pBdr>
          <w:bottom w:val="single" w:sz="8" w:color="2E7D32"/>
        </w:pBdr>
      </w:pPr>
    </w:p>
    <w:p>
      <w:pPr>
        <w:pStyle w:val="ListBullet"/>
        <w:spacing w:after="60"/>
      </w:pPr>
      <w:r>
        <w:rPr>
          <w:rFonts w:ascii="Calibri" w:hAnsi="Calibri"/>
          <w:b w:val="0"/>
          <w:color w:val="455A64"/>
          <w:sz w:val="20"/>
        </w:rPr>
        <w:t>We use ladders inspected daily before each use; damaged ladders are removed from service immediately.</w:t>
      </w:r>
    </w:p>
    <w:p>
      <w:pPr>
        <w:pStyle w:val="ListBullet"/>
        <w:spacing w:after="60"/>
      </w:pPr>
      <w:r>
        <w:rPr>
          <w:rFonts w:ascii="Calibri" w:hAnsi="Calibri"/>
          <w:b w:val="0"/>
          <w:color w:val="455A64"/>
          <w:sz w:val="20"/>
        </w:rPr>
        <w:t>We use scissor lifts and boom lifts for work above 6 feet when ladders are not practical.</w:t>
      </w:r>
    </w:p>
    <w:p>
      <w:pPr>
        <w:pStyle w:val="ListBullet"/>
        <w:spacing w:after="60"/>
      </w:pPr>
      <w:r>
        <w:rPr>
          <w:rFonts w:ascii="Calibri" w:hAnsi="Calibri"/>
          <w:b w:val="0"/>
          <w:color w:val="455A64"/>
          <w:sz w:val="20"/>
        </w:rPr>
        <w:t>All lift operators hold current aerial lift training certification.</w:t>
      </w:r>
    </w:p>
    <w:p>
      <w:pPr>
        <w:pStyle w:val="ListBullet"/>
        <w:spacing w:after="60"/>
      </w:pPr>
      <w:r>
        <w:rPr>
          <w:rFonts w:ascii="Calibri" w:hAnsi="Calibri"/>
          <w:b w:val="0"/>
          <w:color w:val="455A64"/>
          <w:sz w:val="20"/>
        </w:rPr>
        <w:t>We tie off using personal fall arrest systems (PFAS) when working from boom lifts or unprotected edges above 6 feet.</w:t>
      </w:r>
    </w:p>
    <w:p>
      <w:pPr>
        <w:pStyle w:val="ListBullet"/>
        <w:spacing w:after="60"/>
      </w:pPr>
      <w:r>
        <w:rPr>
          <w:rFonts w:ascii="Calibri" w:hAnsi="Calibri"/>
          <w:b w:val="0"/>
          <w:color w:val="455A64"/>
          <w:sz w:val="20"/>
        </w:rPr>
        <w:t>We inspect all fall protection equipment before each use.</w:t>
      </w:r>
    </w:p>
    <w:p>
      <w:pPr>
        <w:keepNext/>
        <w:spacing w:before="160" w:after="80"/>
      </w:pPr>
      <w:r>
        <w:rPr>
          <w:rFonts w:ascii="Calibri" w:hAnsi="Calibri"/>
          <w:b/>
          <w:color w:val="2E7D32"/>
          <w:sz w:val="32"/>
        </w:rPr>
        <w:t>7.  Electrical Safety</w:t>
      </w:r>
    </w:p>
    <w:p>
      <w:pPr>
        <w:keepNext/>
        <w:spacing w:before="0" w:after="200"/>
        <w:pBdr>
          <w:bottom w:val="single" w:sz="8" w:color="2E7D32"/>
        </w:pBdr>
      </w:pPr>
    </w:p>
    <w:p>
      <w:pPr>
        <w:pStyle w:val="ListBullet"/>
        <w:spacing w:after="60"/>
      </w:pPr>
      <w:r>
        <w:rPr>
          <w:rFonts w:ascii="Calibri" w:hAnsi="Calibri"/>
          <w:b w:val="0"/>
          <w:color w:val="455A64"/>
          <w:sz w:val="20"/>
        </w:rPr>
        <w:t>We verify all circuits are de-energized before working in panels or junction boxes.</w:t>
      </w:r>
    </w:p>
    <w:p>
      <w:pPr>
        <w:pStyle w:val="ListBullet"/>
        <w:spacing w:after="60"/>
      </w:pPr>
      <w:r>
        <w:rPr>
          <w:rFonts w:ascii="Calibri" w:hAnsi="Calibri"/>
          <w:b w:val="0"/>
          <w:color w:val="455A64"/>
          <w:sz w:val="20"/>
        </w:rPr>
        <w:t>We use non-contact voltage testers before handling any conductor.</w:t>
      </w:r>
    </w:p>
    <w:p>
      <w:pPr>
        <w:pStyle w:val="ListBullet"/>
        <w:spacing w:after="60"/>
      </w:pPr>
      <w:r>
        <w:rPr>
          <w:rFonts w:ascii="Calibri" w:hAnsi="Calibri"/>
          <w:b w:val="0"/>
          <w:color w:val="455A64"/>
          <w:sz w:val="20"/>
        </w:rPr>
        <w:t>We follow lockout / tagout (LOTO) procedures when required.</w:t>
      </w:r>
    </w:p>
    <w:p>
      <w:pPr>
        <w:pStyle w:val="ListBullet"/>
        <w:spacing w:after="60"/>
      </w:pPr>
      <w:r>
        <w:rPr>
          <w:rFonts w:ascii="Calibri" w:hAnsi="Calibri"/>
          <w:b w:val="0"/>
          <w:color w:val="455A64"/>
          <w:sz w:val="20"/>
        </w:rPr>
        <w:t>We do not perform any work on energized circuits above 50V.</w:t>
      </w:r>
    </w:p>
    <w:p>
      <w:pPr>
        <w:pStyle w:val="ListBullet"/>
        <w:spacing w:after="60"/>
      </w:pPr>
      <w:r>
        <w:rPr>
          <w:rFonts w:ascii="Calibri" w:hAnsi="Calibri"/>
          <w:b w:val="0"/>
          <w:color w:val="455A64"/>
          <w:sz w:val="20"/>
        </w:rPr>
        <w:t>All our personnel hold OSHA 10-Hour Construction Safety certification; field supervisors hold OSHA 30-Hour.</w:t>
      </w:r>
    </w:p>
    <w:p>
      <w:pPr>
        <w:keepNext/>
        <w:spacing w:before="160" w:after="80"/>
      </w:pPr>
      <w:r>
        <w:rPr>
          <w:rFonts w:ascii="Calibri" w:hAnsi="Calibri"/>
          <w:b/>
          <w:color w:val="2E7D32"/>
          <w:sz w:val="32"/>
        </w:rPr>
        <w:t>8.  Fire Prevention</w:t>
      </w:r>
    </w:p>
    <w:p>
      <w:pPr>
        <w:keepNext/>
        <w:spacing w:before="0" w:after="200"/>
        <w:pBdr>
          <w:bottom w:val="single" w:sz="8" w:color="2E7D32"/>
        </w:pBdr>
      </w:pPr>
    </w:p>
    <w:p>
      <w:pPr>
        <w:pStyle w:val="ListBullet"/>
        <w:spacing w:after="60"/>
      </w:pPr>
      <w:r>
        <w:rPr>
          <w:rFonts w:ascii="Calibri" w:hAnsi="Calibri"/>
          <w:b w:val="0"/>
          <w:color w:val="455A64"/>
          <w:sz w:val="20"/>
        </w:rPr>
        <w:t>We keep all work areas free of combustible debris.</w:t>
      </w:r>
    </w:p>
    <w:p>
      <w:pPr>
        <w:pStyle w:val="ListBullet"/>
        <w:spacing w:after="60"/>
      </w:pPr>
      <w:r>
        <w:rPr>
          <w:rFonts w:ascii="Calibri" w:hAnsi="Calibri"/>
          <w:b w:val="0"/>
          <w:color w:val="455A64"/>
          <w:sz w:val="20"/>
        </w:rPr>
        <w:t>We maintain at least one ABC fire extinguisher within 50 feet of our work area.</w:t>
      </w:r>
    </w:p>
    <w:p>
      <w:pPr>
        <w:pStyle w:val="ListBullet"/>
        <w:spacing w:after="60"/>
      </w:pPr>
      <w:r>
        <w:rPr>
          <w:rFonts w:ascii="Calibri" w:hAnsi="Calibri"/>
          <w:b w:val="0"/>
          <w:color w:val="455A64"/>
          <w:sz w:val="20"/>
        </w:rPr>
        <w:t>We do not use open flame or hot work in our scope; if conditions change, we obtain a hot work permit from the GC.</w:t>
      </w:r>
    </w:p>
    <w:p>
      <w:pPr>
        <w:pStyle w:val="ListBullet"/>
        <w:spacing w:after="60"/>
      </w:pPr>
      <w:r>
        <w:rPr>
          <w:rFonts w:ascii="Calibri" w:hAnsi="Calibri"/>
          <w:b w:val="0"/>
          <w:color w:val="455A64"/>
          <w:sz w:val="20"/>
        </w:rPr>
        <w:t>We properly store and dispose of all packaging materials daily.</w:t>
      </w:r>
    </w:p>
    <w:p>
      <w:pPr>
        <w:keepNext/>
        <w:spacing w:before="160" w:after="80"/>
      </w:pPr>
      <w:r>
        <w:rPr>
          <w:rFonts w:ascii="Calibri" w:hAnsi="Calibri"/>
          <w:b/>
          <w:color w:val="2E7D32"/>
          <w:sz w:val="32"/>
        </w:rPr>
        <w:t>9.  Housekeeping</w:t>
      </w:r>
    </w:p>
    <w:p>
      <w:pPr>
        <w:keepNext/>
        <w:spacing w:before="0" w:after="200"/>
        <w:pBdr>
          <w:bottom w:val="single" w:sz="8" w:color="2E7D32"/>
        </w:pBdr>
      </w:pPr>
    </w:p>
    <w:p>
      <w:pPr>
        <w:pStyle w:val="ListBullet"/>
        <w:spacing w:after="60"/>
      </w:pPr>
      <w:r>
        <w:rPr>
          <w:rFonts w:ascii="Calibri" w:hAnsi="Calibri"/>
          <w:b w:val="0"/>
          <w:color w:val="455A64"/>
          <w:sz w:val="20"/>
        </w:rPr>
        <w:t>We clean our work areas at the end of each shift.</w:t>
      </w:r>
    </w:p>
    <w:p>
      <w:pPr>
        <w:pStyle w:val="ListBullet"/>
        <w:spacing w:after="60"/>
      </w:pPr>
      <w:r>
        <w:rPr>
          <w:rFonts w:ascii="Calibri" w:hAnsi="Calibri"/>
          <w:b w:val="0"/>
          <w:color w:val="455A64"/>
          <w:sz w:val="20"/>
        </w:rPr>
        <w:t>We remove all cable scraps, packaging, and debris daily.</w:t>
      </w:r>
    </w:p>
    <w:p>
      <w:pPr>
        <w:pStyle w:val="ListBullet"/>
        <w:spacing w:after="60"/>
      </w:pPr>
      <w:r>
        <w:rPr>
          <w:rFonts w:ascii="Calibri" w:hAnsi="Calibri"/>
          <w:b w:val="0"/>
          <w:color w:val="455A64"/>
          <w:sz w:val="20"/>
        </w:rPr>
        <w:t>We maintain clear egress paths at all times.</w:t>
      </w:r>
    </w:p>
    <w:p>
      <w:pPr>
        <w:pStyle w:val="ListBullet"/>
        <w:spacing w:after="60"/>
      </w:pPr>
      <w:r>
        <w:rPr>
          <w:rFonts w:ascii="Calibri" w:hAnsi="Calibri"/>
          <w:b w:val="0"/>
          <w:color w:val="455A64"/>
          <w:sz w:val="20"/>
        </w:rPr>
        <w:t>We secure all tools and materials at the end of each work day.</w:t>
      </w:r>
    </w:p>
    <w:p>
      <w:pPr>
        <w:keepNext/>
        <w:spacing w:before="160" w:after="80"/>
      </w:pPr>
      <w:r>
        <w:rPr>
          <w:rFonts w:ascii="Calibri" w:hAnsi="Calibri"/>
          <w:b/>
          <w:color w:val="2E7D32"/>
          <w:sz w:val="32"/>
        </w:rPr>
        <w:t>10.  Communication &amp; Reporting</w:t>
      </w:r>
    </w:p>
    <w:p>
      <w:pPr>
        <w:keepNext/>
        <w:spacing w:before="0" w:after="200"/>
        <w:pBdr>
          <w:bottom w:val="single" w:sz="8" w:color="2E7D32"/>
        </w:pBdr>
      </w:pPr>
    </w:p>
    <w:p>
      <w:pPr>
        <w:pStyle w:val="ListBullet"/>
        <w:spacing w:after="60"/>
      </w:pPr>
      <w:r>
        <w:rPr>
          <w:rFonts w:ascii="Calibri" w:hAnsi="Calibri"/>
          <w:b w:val="0"/>
          <w:color w:val="455A64"/>
          <w:sz w:val="20"/>
        </w:rPr>
        <w:t>We attend all GC safety meetings and toolbox talks.</w:t>
      </w:r>
    </w:p>
    <w:p>
      <w:pPr>
        <w:pStyle w:val="ListBullet"/>
        <w:spacing w:after="60"/>
      </w:pPr>
      <w:r>
        <w:rPr>
          <w:rFonts w:ascii="Calibri" w:hAnsi="Calibri"/>
          <w:b w:val="0"/>
          <w:color w:val="455A64"/>
          <w:sz w:val="20"/>
        </w:rPr>
        <w:t>We report all incidents, near-misses, and unsafe conditions to the GC immediately.</w:t>
      </w:r>
    </w:p>
    <w:p>
      <w:pPr>
        <w:pStyle w:val="ListBullet"/>
        <w:spacing w:after="60"/>
      </w:pPr>
      <w:r>
        <w:rPr>
          <w:rFonts w:ascii="Calibri" w:hAnsi="Calibri"/>
          <w:b w:val="0"/>
          <w:color w:val="455A64"/>
          <w:sz w:val="20"/>
        </w:rPr>
        <w:t>We conduct our own daily safety briefing before starting work each morning.</w:t>
      </w:r>
    </w:p>
    <w:p>
      <w:pPr>
        <w:pStyle w:val="ListBullet"/>
        <w:spacing w:after="60"/>
      </w:pPr>
      <w:r>
        <w:rPr>
          <w:rFonts w:ascii="Calibri" w:hAnsi="Calibri"/>
          <w:b w:val="0"/>
          <w:color w:val="455A64"/>
          <w:sz w:val="20"/>
        </w:rPr>
        <w:t>We maintain an incident log on site and provide copies to the GC on request.</w:t>
      </w:r>
    </w:p>
    <w:p>
      <w:pPr>
        <w:keepNext/>
        <w:spacing w:before="160" w:after="80"/>
      </w:pPr>
      <w:r>
        <w:rPr>
          <w:rFonts w:ascii="Calibri" w:hAnsi="Calibri"/>
          <w:b/>
          <w:color w:val="2E7D32"/>
          <w:sz w:val="32"/>
        </w:rPr>
        <w:t>11.  Training</w:t>
      </w:r>
    </w:p>
    <w:p>
      <w:pPr>
        <w:keepNext/>
        <w:spacing w:before="0" w:after="200"/>
        <w:pBdr>
          <w:bottom w:val="single" w:sz="8" w:color="2E7D32"/>
        </w:pBdr>
      </w:pPr>
    </w:p>
    <w:p>
      <w:pPr>
        <w:spacing w:after="80"/>
      </w:pPr>
      <w:r>
        <w:rPr>
          <w:rFonts w:ascii="Calibri" w:hAnsi="Calibri"/>
          <w:b w:val="0"/>
          <w:i w:val="0"/>
          <w:color w:val="455A64"/>
          <w:sz w:val="20"/>
        </w:rPr>
        <w:t>All our field personnel hold:</w:t>
      </w:r>
    </w:p>
    <w:p>
      <w:pPr>
        <w:pStyle w:val="ListBullet"/>
        <w:spacing w:after="60"/>
      </w:pPr>
      <w:r>
        <w:rPr>
          <w:rFonts w:ascii="Calibri" w:hAnsi="Calibri"/>
          <w:b w:val="0"/>
          <w:color w:val="455A64"/>
          <w:sz w:val="20"/>
        </w:rPr>
        <w:t>OSHA 10-Hour Construction Safety (minimum)</w:t>
      </w:r>
    </w:p>
    <w:p>
      <w:pPr>
        <w:pStyle w:val="ListBullet"/>
        <w:spacing w:after="60"/>
      </w:pPr>
      <w:r>
        <w:rPr>
          <w:rFonts w:ascii="Calibri" w:hAnsi="Calibri"/>
          <w:b w:val="0"/>
          <w:color w:val="455A64"/>
          <w:sz w:val="20"/>
        </w:rPr>
        <w:t>OSHA 30-Hour Construction Safety (field supervisors)</w:t>
      </w:r>
    </w:p>
    <w:p>
      <w:pPr>
        <w:pStyle w:val="ListBullet"/>
        <w:spacing w:after="60"/>
      </w:pPr>
      <w:r>
        <w:rPr>
          <w:rFonts w:ascii="Calibri" w:hAnsi="Calibri"/>
          <w:b w:val="0"/>
          <w:color w:val="455A64"/>
          <w:sz w:val="20"/>
        </w:rPr>
        <w:t>First Aid / CPR certification</w:t>
      </w:r>
    </w:p>
    <w:p>
      <w:pPr>
        <w:pStyle w:val="ListBullet"/>
        <w:spacing w:after="60"/>
      </w:pPr>
      <w:r>
        <w:rPr>
          <w:rFonts w:ascii="Calibri" w:hAnsi="Calibri"/>
          <w:b w:val="0"/>
          <w:color w:val="455A64"/>
          <w:sz w:val="20"/>
        </w:rPr>
        <w:t>Aerial lift operator training (when applicable)</w:t>
      </w:r>
    </w:p>
    <w:p>
      <w:pPr>
        <w:pStyle w:val="ListBullet"/>
        <w:spacing w:after="60"/>
      </w:pPr>
      <w:r>
        <w:rPr>
          <w:rFonts w:ascii="Calibri" w:hAnsi="Calibri"/>
          <w:b w:val="0"/>
          <w:color w:val="455A64"/>
          <w:sz w:val="20"/>
        </w:rPr>
        <w:t>GCC site-specific orientation (conducted before first day on site)</w:t>
      </w:r>
    </w:p>
    <w:p>
      <w:pPr>
        <w:keepNext/>
        <w:spacing w:before="160" w:after="80"/>
      </w:pPr>
      <w:r>
        <w:rPr>
          <w:rFonts w:ascii="Calibri" w:hAnsi="Calibri"/>
          <w:b/>
          <w:color w:val="2E7D32"/>
          <w:sz w:val="32"/>
        </w:rPr>
        <w:t>12.  Subcontractor Safety</w:t>
      </w:r>
    </w:p>
    <w:p>
      <w:pPr>
        <w:keepNext/>
        <w:spacing w:before="0" w:after="200"/>
        <w:pBdr>
          <w:bottom w:val="single" w:sz="8" w:color="2E7D32"/>
        </w:pBdr>
      </w:pPr>
    </w:p>
    <w:p>
      <w:pPr>
        <w:spacing w:after="80"/>
      </w:pPr>
      <w:r>
        <w:rPr>
          <w:rFonts w:ascii="Calibri" w:hAnsi="Calibri"/>
          <w:b w:val="0"/>
          <w:i w:val="0"/>
          <w:color w:val="455A64"/>
          <w:sz w:val="20"/>
        </w:rPr>
        <w:t>If we engage any sub-labor on this project, they must:</w:t>
      </w:r>
    </w:p>
    <w:p>
      <w:pPr>
        <w:pStyle w:val="ListBullet"/>
        <w:spacing w:after="60"/>
      </w:pPr>
      <w:r>
        <w:rPr>
          <w:rFonts w:ascii="Calibri" w:hAnsi="Calibri"/>
          <w:b w:val="0"/>
          <w:color w:val="455A64"/>
          <w:sz w:val="20"/>
        </w:rPr>
        <w:t>Meet all screening requirements per our Background Check Compliance Letter.</w:t>
      </w:r>
    </w:p>
    <w:p>
      <w:pPr>
        <w:pStyle w:val="ListBullet"/>
        <w:spacing w:after="60"/>
      </w:pPr>
      <w:r>
        <w:rPr>
          <w:rFonts w:ascii="Calibri" w:hAnsi="Calibri"/>
          <w:b w:val="0"/>
          <w:color w:val="455A64"/>
          <w:sz w:val="20"/>
        </w:rPr>
        <w:t>Hold current OSHA 10-Hour certification.</w:t>
      </w:r>
    </w:p>
    <w:p>
      <w:pPr>
        <w:pStyle w:val="ListBullet"/>
        <w:spacing w:after="60"/>
      </w:pPr>
      <w:r>
        <w:rPr>
          <w:rFonts w:ascii="Calibri" w:hAnsi="Calibri"/>
          <w:b w:val="0"/>
          <w:color w:val="455A64"/>
          <w:sz w:val="20"/>
        </w:rPr>
        <w:t>Comply with this SSSP and all GC safety requirements.</w:t>
      </w:r>
    </w:p>
    <w:p>
      <w:pPr>
        <w:pStyle w:val="ListBullet"/>
        <w:spacing w:after="60"/>
      </w:pPr>
      <w:r>
        <w:rPr>
          <w:rFonts w:ascii="Calibri" w:hAnsi="Calibri"/>
          <w:b w:val="0"/>
          <w:color w:val="455A64"/>
          <w:sz w:val="20"/>
        </w:rPr>
        <w:t>Work under direct supervision of our field leadership.</w:t>
      </w:r>
    </w:p>
    <w:p>
      <w:pPr>
        <w:pStyle w:val="ListBullet"/>
        <w:spacing w:after="60"/>
      </w:pPr>
      <w:r>
        <w:rPr>
          <w:rFonts w:ascii="Calibri" w:hAnsi="Calibri"/>
          <w:b w:val="0"/>
          <w:color w:val="455A64"/>
          <w:sz w:val="20"/>
        </w:rPr>
        <w:t>Be covered under our insurance.</w:t>
      </w:r>
    </w:p>
    <w:p>
      <w:pPr>
        <w:keepNext/>
        <w:spacing w:before="160" w:after="80"/>
      </w:pPr>
      <w:r>
        <w:rPr>
          <w:rFonts w:ascii="Calibri" w:hAnsi="Calibri"/>
          <w:b/>
          <w:color w:val="2E7D32"/>
          <w:sz w:val="32"/>
        </w:rPr>
        <w:t>13.  Stop-Work Authority</w:t>
      </w:r>
    </w:p>
    <w:p>
      <w:pPr>
        <w:keepNext/>
        <w:spacing w:before="0" w:after="200"/>
        <w:pBdr>
          <w:bottom w:val="single" w:sz="8" w:color="2E7D32"/>
        </w:pBdr>
      </w:pPr>
    </w:p>
    <w:p>
      <w:pPr>
        <w:spacing w:after="80"/>
      </w:pPr>
      <w:r>
        <w:rPr>
          <w:rFonts w:ascii="Calibri" w:hAnsi="Calibri"/>
          <w:b w:val="0"/>
          <w:i w:val="0"/>
          <w:color w:val="455A64"/>
          <w:sz w:val="20"/>
        </w:rPr>
        <w:t>Every member of our crew has the authority and obligation to stop work immediately if they observe an unsafe condition. No work resumes until the hazard is corrected. We do not retaliate against any worker who exercises stop-work authority.</w:t>
      </w:r>
    </w:p>
    <w:p>
      <w:pPr>
        <w:spacing w:before="280" w:after="80"/>
      </w:pPr>
    </w:p>
    <w:p>
      <w:pPr>
        <w:pBdr>
          <w:bottom w:val="single" w:sz="12" w:color="2E7D32"/>
        </w:pBdr>
      </w:pPr>
    </w:p>
    <w:p>
      <w:pPr>
        <w:spacing w:after="0"/>
        <w:jc w:val="center"/>
      </w:pPr>
      <w:r>
        <w:rPr>
          <w:rFonts w:ascii="Calibri" w:hAnsi="Calibri"/>
          <w:b w:val="0"/>
          <w:i/>
          <w:color w:val="455A64"/>
          <w:sz w:val="18"/>
        </w:rPr>
        <w:t>Prepared by: GCC Estimating Department  ·  Contact: kaitlyn@greencommllc.com  ·  (636) 224-8192</w:t>
      </w:r>
    </w:p>
    <w:sectPr w:rsidR="00FC693F" w:rsidRPr="0006063C" w:rsidSect="00034616">
      <w:headerReference w:type="default" r:id="rId9"/>
      <w:footerReference w:type="default" r:id="rId10"/>
      <w:pgSz w:w="12240" w:h="15840"/>
      <w:pgMar w:top="1296" w:right="1080" w:bottom="1152"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7920"/>
      <w:gridCol w:w="2160"/>
    </w:tblGrid>
    <w:tr>
      <w:tc>
        <w:tcPr>
          <w:tcW w:type="dxa" w:w="5040"/>
          <w:tcBorders>
            <w:top w:val="nil"/>
            <w:left w:val="nil"/>
            <w:bottom w:val="nil"/>
            <w:right w:val="nil"/>
          </w:tcBorders>
        </w:tcPr>
        <w:p>
          <w:pPr>
            <w:jc w:val="left"/>
          </w:pPr>
          <w:r>
            <w:rPr>
              <w:rFonts w:ascii="Calibri" w:hAnsi="Calibri"/>
              <w:i/>
              <w:color w:val="455A64"/>
              <w:sz w:val="16"/>
            </w:rPr>
            <w:t>GCC LLC   ·   Proprietary &amp; Confidential   ·   Licensed &amp; Insured   ·   KCMO &amp; STL</w:t>
          </w:r>
        </w:p>
      </w:tc>
      <w:tc>
        <w:tcPr>
          <w:tcW w:type="dxa" w:w="5040"/>
          <w:tcBorders>
            <w:top w:val="nil"/>
            <w:left w:val="nil"/>
            <w:bottom w:val="nil"/>
            <w:right w:val="nil"/>
          </w:tcBorders>
        </w:tcPr>
        <w:p>
          <w:pPr>
            <w:jc w:val="right"/>
          </w:pPr>
          <w:r>
            <w:rPr>
              <w:rFonts w:ascii="Calibri" w:hAnsi="Calibri"/>
              <w:color w:val="455A64"/>
              <w:sz w:val="16"/>
            </w:rPr>
            <w:t xml:space="preserve">Page </w:t>
          </w:r>
          <w:r>
            <w:rPr>
              <w:rFonts w:ascii="Calibri" w:hAnsi="Calibri"/>
              <w:color w:val="455A64"/>
              <w:sz w:val="16"/>
            </w:rPr>
            <w:fldChar w:fldCharType="begin"/>
            <w:instrText xml:space="preserve">PAGE</w:instrText>
            <w:fldChar w:fldCharType="end"/>
          </w:r>
          <w:r>
            <w:rPr>
              <w:rFonts w:ascii="Calibri" w:hAnsi="Calibri"/>
              <w:color w:val="455A64"/>
              <w:sz w:val="16"/>
            </w:rPr>
            <w:t xml:space="preserve"> of </w:t>
          </w:r>
          <w:r>
            <w:rPr>
              <w:rFonts w:ascii="Calibri" w:hAnsi="Calibri"/>
              <w:color w:val="455A64"/>
              <w:sz w:val="16"/>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616"/>
      <w:gridCol w:w="4320"/>
    </w:tblGrid>
    <w:tr>
      <w:tc>
        <w:tcPr>
          <w:tcW w:type="dxa" w:w="5616"/>
          <w:tcBorders>
            <w:top w:val="nil"/>
            <w:left w:val="nil"/>
            <w:bottom w:val="nil"/>
            <w:right w:val="nil"/>
          </w:tcBorders>
        </w:tcPr>
        <w:p>
          <w:pPr>
            <w:jc w:val="left"/>
          </w:pPr>
          <w:r>
            <w:drawing>
              <wp:inline xmlns:a="http://schemas.openxmlformats.org/drawingml/2006/main" xmlns:pic="http://schemas.openxmlformats.org/drawingml/2006/picture">
                <wp:extent cx="548640" cy="548640"/>
                <wp:docPr id="1" name="Picture 1"/>
                <wp:cNvGraphicFramePr>
                  <a:graphicFrameLocks noChangeAspect="1"/>
                </wp:cNvGraphicFramePr>
                <a:graphic>
                  <a:graphicData uri="http://schemas.openxmlformats.org/drawingml/2006/picture">
                    <pic:pic>
                      <pic:nvPicPr>
                        <pic:cNvPr id="0" name="gcc logo only.png"/>
                        <pic:cNvPicPr/>
                      </pic:nvPicPr>
                      <pic:blipFill>
                        <a:blip r:embed="rId1"/>
                        <a:stretch>
                          <a:fillRect/>
                        </a:stretch>
                      </pic:blipFill>
                      <pic:spPr>
                        <a:xfrm>
                          <a:off x="0" y="0"/>
                          <a:ext cx="548640" cy="548640"/>
                        </a:xfrm>
                        <a:prstGeom prst="rect"/>
                      </pic:spPr>
                    </pic:pic>
                  </a:graphicData>
                </a:graphic>
              </wp:inline>
            </w:drawing>
          </w:r>
        </w:p>
      </w:tc>
      <w:tc>
        <w:tcPr>
          <w:tcW w:type="dxa" w:w="4320"/>
          <w:tcBorders>
            <w:top w:val="nil"/>
            <w:left w:val="nil"/>
            <w:bottom w:val="nil"/>
            <w:right w:val="nil"/>
          </w:tcBorders>
        </w:tcPr>
        <w:p/>
      </w:tc>
    </w:tr>
  </w:tbl>
  <w:p>
    <w:pPr>
      <w:spacing w:before="80" w:after="0"/>
      <w:pBdr>
        <w:bottom w:val="single" w:sz="12" w:color="2E7D32"/>
      </w:pBdr>
    </w:pPr>
  </w:p>
  <w:p>
    <w:pPr>
      <w:jc w:val="right"/>
    </w:pPr>
    <w:r>
      <w:rPr>
        <w:rFonts w:ascii="Calibri" w:hAnsi="Calibri"/>
        <w:i/>
        <w:color w:val="2E7D32"/>
        <w:sz w:val="18"/>
      </w:rPr>
      <w:t>Low-Voltage Div 27/28 Contractor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