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32"/>
        </w:rPr>
        <w:t>Umbrella / Excess Liability Availability Statement</w:t>
      </w:r>
    </w:p>
    <w:p>
      <w:pPr>
        <w:pBdr>
          <w:bottom w:val="single" w:sz="12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To Whom It May Concern:</w:t>
      </w:r>
    </w:p>
    <w:p>
      <w:pPr>
        <w:spacing w:after="160"/>
      </w:pPr>
      <w:r>
        <w:rPr>
          <w:rFonts w:ascii="Calibri" w:hAnsi="Calibri"/>
          <w:b w:val="0"/>
          <w:i w:val="0"/>
          <w:color w:val="455A64"/>
          <w:sz w:val="20"/>
        </w:rPr>
        <w:t>We maintain the following base insurance coverage: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Base Coverage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6192"/>
      </w:tblGrid>
      <w:tr>
        <w:trPr>
          <w:cantSplit/>
          <w:tblHeader/>
        </w:trPr>
        <w:tc>
          <w:tcPr>
            <w:tcW w:type="dxa" w:w="374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619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Limits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Workers' Compensation</w:t>
            </w:r>
          </w:p>
        </w:tc>
        <w:tc>
          <w:tcPr>
            <w:tcW w:type="dxa" w:w="61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Statutory (MO); $1M per accident employer's liability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Commercial General Liability</w:t>
            </w:r>
          </w:p>
        </w:tc>
        <w:tc>
          <w:tcPr>
            <w:tcW w:type="dxa" w:w="61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$1M per occurrence, $2M aggregate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Products / Completed Operations</w:t>
            </w:r>
          </w:p>
        </w:tc>
        <w:tc>
          <w:tcPr>
            <w:tcW w:type="dxa" w:w="61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$2M aggregate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Umbrella / Excess Liability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We can obtain umbrella or excess liability coverage in the following ranges on a project-specific basis: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Umbrella Limit</w:t>
            </w:r>
          </w:p>
        </w:tc>
        <w:tc>
          <w:tcPr>
            <w:tcW w:type="dxa" w:w="705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Availability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$1,000,000</w:t>
            </w:r>
          </w:p>
        </w:tc>
        <w:tc>
          <w:tcPr>
            <w:tcW w:type="dxa" w:w="705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Available — standard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$2,000,000</w:t>
            </w:r>
          </w:p>
        </w:tc>
        <w:tc>
          <w:tcPr>
            <w:tcW w:type="dxa" w:w="705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Available on request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$5,000,000</w:t>
            </w:r>
          </w:p>
        </w:tc>
        <w:tc>
          <w:tcPr>
            <w:tcW w:type="dxa" w:w="705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Available on request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Terms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obtain umbrella coverage within 10 business days of award or request.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Umbrella coverage sits excess of our CGL, auto liability, and employer's liability policies.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include the umbrella premium as a line item in our bid when the project requires it.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provide the updated certificate of insurance reflecting umbrella limits before mobilization.</w:t>
      </w: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If this project requires umbrella or excess liability coverage above our base limits, please notify us at bid time so we can include the cost.</w:t>
      </w:r>
    </w:p>
    <w:p>
      <w:pPr>
        <w:spacing w:after="160"/>
      </w:pP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color w:val="2E7D32"/>
          <w:sz w:val="22"/>
        </w:rPr>
        <w:t>Kaitlyn Morris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CEO — Green Communications Contracting LLC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18"/>
        </w:rPr>
        <w:t>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28800" cy="1828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with name and cont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828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