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i w:val="0"/>
          <w:color w:val="2E7D32"/>
          <w:sz w:val="44"/>
        </w:rPr>
        <w:t>CABLE SCHEDULE</w:t>
      </w:r>
    </w:p>
    <w:p>
      <w:pPr>
        <w:spacing w:after="80"/>
        <w:jc w:val="center"/>
      </w:pPr>
      <w:r>
        <w:rPr>
          <w:rFonts w:ascii="Calibri" w:hAnsi="Calibri"/>
          <w:b w:val="0"/>
          <w:i/>
          <w:color w:val="455A64"/>
          <w:sz w:val="22"/>
        </w:rPr>
        <w:t>{{JOB NAME}} — {{GC NAME}} — {{SITE CITY, STATE}}</w:t>
      </w:r>
    </w:p>
    <w:p>
      <w:pPr>
        <w:pBdr>
          <w:bottom w:val="single" w:sz="12" w:color="2E7D32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936"/>
            <w:shd w:val="clear" w:color="auto" w:fill="FBEEEE"/>
            <w:tcBorders>
              <w:top w:val="single" w:sz="8" w:color="C62828"/>
              <w:left w:val="single" w:sz="8" w:color="C62828"/>
              <w:bottom w:val="single" w:sz="8" w:color="C62828"/>
              <w:right w:val="single" w:sz="8" w:color="C62828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C62828"/>
                <w:sz w:val="24"/>
              </w:rPr>
              <w:t>INTERNAL DOCUMENT — GCC EYES ONLY</w:t>
            </w:r>
          </w:p>
          <w:p>
            <w:pPr>
              <w:spacing w:before="0" w:after="120"/>
              <w:jc w:val="center"/>
            </w:pPr>
            <w:r>
              <w:rPr>
                <w:rFonts w:ascii="Calibri" w:hAnsi="Calibri"/>
                <w:i/>
                <w:color w:val="C62828"/>
                <w:sz w:val="18"/>
              </w:rPr>
              <w:t>Contains internal cost rates, margin analysis, and strategy. Never attach to a proposal, quote, or email to a GC, Owner, or Subcontractor.</w:t>
            </w:r>
          </w:p>
        </w:tc>
      </w:tr>
    </w:tbl>
    <w:p>
      <w:pPr>
        <w:spacing w:after="200"/>
      </w:pPr>
    </w:p>
    <w:p>
      <w:pPr>
        <w:keepNext/>
        <w:spacing w:after="40"/>
      </w:pPr>
      <w:r>
        <w:rPr>
          <w:rFonts w:ascii="Calibri" w:hAnsi="Calibri"/>
          <w:b/>
          <w:i w:val="0"/>
          <w:color w:val="2E7D32"/>
          <w:sz w:val="22"/>
        </w:rPr>
        <w:t>PURPOSE</w:t>
      </w:r>
    </w:p>
    <w:p>
      <w:pPr>
        <w:spacing w:after="200"/>
      </w:pPr>
      <w:r>
        <w:rPr>
          <w:rFonts w:ascii="Calibri" w:hAnsi="Calibri"/>
          <w:b w:val="0"/>
          <w:i w:val="0"/>
          <w:color w:val="455A64"/>
          <w:sz w:val="20"/>
        </w:rPr>
        <w:t>Single source of truth for field crew on every cable installed on this job. Captures site-wide cable spec, color discipline, service loops, wall plates, TR/IDF/MDF buildouts, and LF totals. Reconciles with BTQ quantities and Drop Counts. Updated through bid + construction.</w:t>
      </w:r>
    </w:p>
    <w:p>
      <w:pPr>
        <w:keepNext/>
        <w:pageBreakBefore/>
        <w:spacing w:before="0" w:after="80"/>
      </w:pPr>
      <w:r>
        <w:rPr>
          <w:rFonts w:ascii="Calibri" w:hAnsi="Calibri"/>
          <w:b/>
          <w:color w:val="2E7D32"/>
          <w:sz w:val="32"/>
        </w:rPr>
        <w:t>1.  Site-Wide Cable Spec</w:t>
      </w:r>
    </w:p>
    <w:p>
      <w:pPr>
        <w:keepNext/>
        <w:spacing w:before="0" w:after="200"/>
        <w:pBdr>
          <w:bottom w:val="single" w:sz="8" w:color="2E7D32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2736"/>
        <w:gridCol w:w="1296"/>
        <w:gridCol w:w="1872"/>
        <w:gridCol w:w="1728"/>
      </w:tblGrid>
      <w:tr>
        <w:trPr>
          <w:cantSplit/>
          <w:tblHeader/>
        </w:trPr>
        <w:tc>
          <w:tcPr>
            <w:tcW w:type="dxa" w:w="2304"/>
            <w:shd w:val="clear" w:color="auto" w:fill="2E7D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Discipline</w:t>
            </w:r>
          </w:p>
        </w:tc>
        <w:tc>
          <w:tcPr>
            <w:tcW w:type="dxa" w:w="2736"/>
            <w:shd w:val="clear" w:color="auto" w:fill="2E7D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Cable</w:t>
            </w:r>
          </w:p>
        </w:tc>
        <w:tc>
          <w:tcPr>
            <w:tcW w:type="dxa" w:w="1296"/>
            <w:shd w:val="clear" w:color="auto" w:fill="2E7D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Jacket Color</w:t>
            </w:r>
          </w:p>
        </w:tc>
        <w:tc>
          <w:tcPr>
            <w:tcW w:type="dxa" w:w="1872"/>
            <w:shd w:val="clear" w:color="auto" w:fill="2E7D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Connector</w:t>
            </w:r>
          </w:p>
        </w:tc>
        <w:tc>
          <w:tcPr>
            <w:tcW w:type="dxa" w:w="1728"/>
            <w:shd w:val="clear" w:color="auto" w:fill="2E7D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Test Class</w:t>
            </w:r>
          </w:p>
        </w:tc>
      </w:tr>
      <w:tr>
        <w:trPr>
          <w:cantSplit/>
        </w:trPr>
        <w:tc>
          <w:tcPr>
            <w:tcW w:type="dxa" w:w="2304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Data (horizontal)</w:t>
            </w:r>
          </w:p>
        </w:tc>
        <w:tc>
          <w:tcPr>
            <w:tcW w:type="dxa" w:w="2736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Cat6A plenum (GCC baseline — never Cat6)</w:t>
            </w:r>
          </w:p>
        </w:tc>
        <w:tc>
          <w:tcPr>
            <w:tcW w:type="dxa" w:w="1296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Blue</w:t>
            </w:r>
          </w:p>
        </w:tc>
        <w:tc>
          <w:tcPr>
            <w:tcW w:type="dxa" w:w="1872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RJ-45 8P8C</w:t>
            </w:r>
          </w:p>
        </w:tc>
        <w:tc>
          <w:tcPr>
            <w:tcW w:type="dxa" w:w="1728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Class EA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Voice (horizontal)</w:t>
            </w:r>
          </w:p>
        </w:tc>
        <w:tc>
          <w:tcPr>
            <w:tcW w:type="dxa" w:w="2736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Cat6A plenum</w:t>
            </w:r>
          </w:p>
        </w:tc>
        <w:tc>
          <w:tcPr>
            <w:tcW w:type="dxa" w:w="1296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White</w:t>
            </w:r>
          </w:p>
        </w:tc>
        <w:tc>
          <w:tcPr>
            <w:tcW w:type="dxa" w:w="187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RJ-45 8P8C</w:t>
            </w:r>
          </w:p>
        </w:tc>
        <w:tc>
          <w:tcPr>
            <w:tcW w:type="dxa" w:w="1728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Class EA</w:t>
            </w:r>
          </w:p>
        </w:tc>
      </w:tr>
      <w:tr>
        <w:trPr>
          <w:cantSplit/>
        </w:trPr>
        <w:tc>
          <w:tcPr>
            <w:tcW w:type="dxa" w:w="2304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CCTV</w:t>
            </w:r>
          </w:p>
        </w:tc>
        <w:tc>
          <w:tcPr>
            <w:tcW w:type="dxa" w:w="2736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Cat6A plenum</w:t>
            </w:r>
          </w:p>
        </w:tc>
        <w:tc>
          <w:tcPr>
            <w:tcW w:type="dxa" w:w="1296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Green</w:t>
            </w:r>
          </w:p>
        </w:tc>
        <w:tc>
          <w:tcPr>
            <w:tcW w:type="dxa" w:w="1872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RJ-45 / BNC where analog</w:t>
            </w:r>
          </w:p>
        </w:tc>
        <w:tc>
          <w:tcPr>
            <w:tcW w:type="dxa" w:w="1728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Class EA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ACS (readers, REX, door contacts)</w:t>
            </w:r>
          </w:p>
        </w:tc>
        <w:tc>
          <w:tcPr>
            <w:tcW w:type="dxa" w:w="2736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Cat6A plenum + 22/4 comp</w:t>
            </w:r>
          </w:p>
        </w:tc>
        <w:tc>
          <w:tcPr>
            <w:tcW w:type="dxa" w:w="1296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Red</w:t>
            </w:r>
          </w:p>
        </w:tc>
        <w:tc>
          <w:tcPr>
            <w:tcW w:type="dxa" w:w="187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Termination per mfr</w:t>
            </w:r>
          </w:p>
        </w:tc>
        <w:tc>
          <w:tcPr>
            <w:tcW w:type="dxa" w:w="1728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Continuity + polarity</w:t>
            </w:r>
          </w:p>
        </w:tc>
      </w:tr>
      <w:tr>
        <w:trPr>
          <w:cantSplit/>
        </w:trPr>
        <w:tc>
          <w:tcPr>
            <w:tcW w:type="dxa" w:w="2304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Intercom / paging</w:t>
            </w:r>
          </w:p>
        </w:tc>
        <w:tc>
          <w:tcPr>
            <w:tcW w:type="dxa" w:w="2736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Cat6A plenum</w:t>
            </w:r>
          </w:p>
        </w:tc>
        <w:tc>
          <w:tcPr>
            <w:tcW w:type="dxa" w:w="1296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{{per spec}}</w:t>
            </w:r>
          </w:p>
        </w:tc>
        <w:tc>
          <w:tcPr>
            <w:tcW w:type="dxa" w:w="1872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RJ-45</w:t>
            </w:r>
          </w:p>
        </w:tc>
        <w:tc>
          <w:tcPr>
            <w:tcW w:type="dxa" w:w="1728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Class EA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Fiber backbone</w:t>
            </w:r>
          </w:p>
        </w:tc>
        <w:tc>
          <w:tcPr>
            <w:tcW w:type="dxa" w:w="2736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OS2 SM 12-strand (min)</w:t>
            </w:r>
          </w:p>
        </w:tc>
        <w:tc>
          <w:tcPr>
            <w:tcW w:type="dxa" w:w="1296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Yellow</w:t>
            </w:r>
          </w:p>
        </w:tc>
        <w:tc>
          <w:tcPr>
            <w:tcW w:type="dxa" w:w="187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LC / SC fusion</w:t>
            </w:r>
          </w:p>
        </w:tc>
        <w:tc>
          <w:tcPr>
            <w:tcW w:type="dxa" w:w="1728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OTDR bidir + insertion</w:t>
            </w:r>
          </w:p>
        </w:tc>
      </w:tr>
      <w:tr>
        <w:trPr>
          <w:cantSplit/>
        </w:trPr>
        <w:tc>
          <w:tcPr>
            <w:tcW w:type="dxa" w:w="2304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Fiber horizontal (fiber-to-desk)</w:t>
            </w:r>
          </w:p>
        </w:tc>
        <w:tc>
          <w:tcPr>
            <w:tcW w:type="dxa" w:w="2736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OM4 MM 2-strand</w:t>
            </w:r>
          </w:p>
        </w:tc>
        <w:tc>
          <w:tcPr>
            <w:tcW w:type="dxa" w:w="1296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Aqua</w:t>
            </w:r>
          </w:p>
        </w:tc>
        <w:tc>
          <w:tcPr>
            <w:tcW w:type="dxa" w:w="1872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LC fusion</w:t>
            </w:r>
          </w:p>
        </w:tc>
        <w:tc>
          <w:tcPr>
            <w:tcW w:type="dxa" w:w="1728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OTDR + insertion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Coax (AV / CATV feeds)</w:t>
            </w:r>
          </w:p>
        </w:tc>
        <w:tc>
          <w:tcPr>
            <w:tcW w:type="dxa" w:w="2736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RG-6 quad-shield plenum</w:t>
            </w:r>
          </w:p>
        </w:tc>
        <w:tc>
          <w:tcPr>
            <w:tcW w:type="dxa" w:w="1296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Black</w:t>
            </w:r>
          </w:p>
        </w:tc>
        <w:tc>
          <w:tcPr>
            <w:tcW w:type="dxa" w:w="187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F-type compression</w:t>
            </w:r>
          </w:p>
        </w:tc>
        <w:tc>
          <w:tcPr>
            <w:tcW w:type="dxa" w:w="1728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DC continuity</w:t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rFonts w:ascii="Calibri" w:hAnsi="Calibri"/>
          <w:b w:val="0"/>
          <w:i w:val="0"/>
          <w:color w:val="455A64"/>
          <w:sz w:val="20"/>
        </w:rPr>
      </w:r>
    </w:p>
    <w:p>
      <w:pPr>
        <w:keepNext/>
        <w:spacing w:before="200" w:after="80"/>
      </w:pPr>
      <w:r>
        <w:rPr>
          <w:rFonts w:ascii="Calibri" w:hAnsi="Calibri"/>
          <w:b/>
          <w:color w:val="455A64"/>
          <w:sz w:val="22"/>
        </w:rPr>
        <w:t>Included Upgrades (GCC baseline on every bid)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Cat6A plenum on every data drop — included at no upcharge to the GC, even when the base spec calls for Cat6. Cat6 substitute for Cat6A is NEVER offered.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TIA-606-C Class 3 labeling on both ends of every cable.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Fluke DSX-8000 Class EA certification on every Cat6A drop. LinkWare PDF at closeout.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Lifetime GCC workmanship warranty on every cable.</w:t>
      </w:r>
    </w:p>
    <w:p>
      <w:pPr>
        <w:keepNext/>
        <w:pageBreakBefore/>
        <w:spacing w:before="0" w:after="80"/>
      </w:pPr>
      <w:r>
        <w:rPr>
          <w:rFonts w:ascii="Calibri" w:hAnsi="Calibri"/>
          <w:b/>
          <w:color w:val="2E7D32"/>
          <w:sz w:val="32"/>
        </w:rPr>
        <w:t>2.  Service Loops &amp; Slack</w:t>
      </w:r>
    </w:p>
    <w:p>
      <w:pPr>
        <w:keepNext/>
        <w:spacing w:before="0" w:after="200"/>
        <w:pBdr>
          <w:bottom w:val="single" w:sz="8" w:color="2E7D32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2592"/>
        <w:gridCol w:w="3744"/>
      </w:tblGrid>
      <w:tr>
        <w:trPr>
          <w:cantSplit/>
          <w:tblHeader/>
        </w:trPr>
        <w:tc>
          <w:tcPr>
            <w:tcW w:type="dxa" w:w="3600"/>
            <w:shd w:val="clear" w:color="auto" w:fill="2E7D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Location</w:t>
            </w:r>
          </w:p>
        </w:tc>
        <w:tc>
          <w:tcPr>
            <w:tcW w:type="dxa" w:w="2592"/>
            <w:shd w:val="clear" w:color="auto" w:fill="2E7D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Service Loop Length</w:t>
            </w:r>
          </w:p>
        </w:tc>
        <w:tc>
          <w:tcPr>
            <w:tcW w:type="dxa" w:w="3744"/>
            <w:shd w:val="clear" w:color="auto" w:fill="2E7D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Coiled / Routed</w:t>
            </w:r>
          </w:p>
        </w:tc>
      </w:tr>
      <w:tr>
        <w:trPr>
          <w:cantSplit/>
        </w:trPr>
        <w:tc>
          <w:tcPr>
            <w:tcW w:type="dxa" w:w="3600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MDF (head-end)</w:t>
            </w:r>
          </w:p>
        </w:tc>
        <w:tc>
          <w:tcPr>
            <w:tcW w:type="dxa" w:w="2592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10 ft</w:t>
            </w:r>
          </w:p>
        </w:tc>
        <w:tc>
          <w:tcPr>
            <w:tcW w:type="dxa" w:w="3744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Coiled above rack, velcro-bound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IDF (intermediate)</w:t>
            </w:r>
          </w:p>
        </w:tc>
        <w:tc>
          <w:tcPr>
            <w:tcW w:type="dxa" w:w="259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10 ft</w:t>
            </w:r>
          </w:p>
        </w:tc>
        <w:tc>
          <w:tcPr>
            <w:tcW w:type="dxa" w:w="3744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Coiled above rack, velcro-bound</w:t>
            </w:r>
          </w:p>
        </w:tc>
      </w:tr>
      <w:tr>
        <w:trPr>
          <w:cantSplit/>
        </w:trPr>
        <w:tc>
          <w:tcPr>
            <w:tcW w:type="dxa" w:w="3600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Endpoint (WAP, camera, wall plate)</w:t>
            </w:r>
          </w:p>
        </w:tc>
        <w:tc>
          <w:tcPr>
            <w:tcW w:type="dxa" w:w="2592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3 ft</w:t>
            </w:r>
          </w:p>
        </w:tc>
        <w:tc>
          <w:tcPr>
            <w:tcW w:type="dxa" w:w="3744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Looped above ceiling tile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Elevator shaft (per cab)</w:t>
            </w:r>
          </w:p>
        </w:tc>
        <w:tc>
          <w:tcPr>
            <w:tcW w:type="dxa" w:w="259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5 ft at MDF + 5 ft at cab</w:t>
            </w:r>
          </w:p>
        </w:tc>
        <w:tc>
          <w:tcPr>
            <w:tcW w:type="dxa" w:w="3744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Coiled, secured with zip ties (no tape)</w:t>
            </w:r>
          </w:p>
        </w:tc>
      </w:tr>
      <w:tr>
        <w:trPr>
          <w:cantSplit/>
        </w:trPr>
        <w:tc>
          <w:tcPr>
            <w:tcW w:type="dxa" w:w="3600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Roof-top camera / device</w:t>
            </w:r>
          </w:p>
        </w:tc>
        <w:tc>
          <w:tcPr>
            <w:tcW w:type="dxa" w:w="2592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6 ft</w:t>
            </w:r>
          </w:p>
        </w:tc>
        <w:tc>
          <w:tcPr>
            <w:tcW w:type="dxa" w:w="3744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Inside pathway before roof penetration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hAnsi="Calibri"/>
          <w:b w:val="0"/>
          <w:i w:val="0"/>
          <w:color w:val="455A64"/>
          <w:sz w:val="20"/>
        </w:rPr>
      </w:r>
    </w:p>
    <w:p>
      <w:pPr>
        <w:spacing w:after="200"/>
      </w:pPr>
      <w:r>
        <w:rPr>
          <w:rFonts w:ascii="Calibri" w:hAnsi="Calibri"/>
          <w:b w:val="0"/>
          <w:i/>
          <w:color w:val="455A64"/>
          <w:sz w:val="18"/>
        </w:rPr>
        <w:t>Service loops are non-negotiable minimums. When pathway doesn't allow, crew documents deviation on the as-built. Never cut below these lengths.</w:t>
      </w:r>
    </w:p>
    <w:p>
      <w:pPr>
        <w:keepNext/>
        <w:pageBreakBefore/>
        <w:spacing w:before="0" w:after="80"/>
      </w:pPr>
      <w:r>
        <w:rPr>
          <w:rFonts w:ascii="Calibri" w:hAnsi="Calibri"/>
          <w:b/>
          <w:color w:val="2E7D32"/>
          <w:sz w:val="32"/>
        </w:rPr>
        <w:t>3.  Wall Plates &amp; Connectors</w:t>
      </w:r>
    </w:p>
    <w:p>
      <w:pPr>
        <w:keepNext/>
        <w:spacing w:before="0" w:after="200"/>
        <w:pBdr>
          <w:bottom w:val="single" w:sz="8" w:color="2E7D32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3168"/>
        <w:gridCol w:w="2304"/>
        <w:gridCol w:w="2016"/>
      </w:tblGrid>
      <w:tr>
        <w:trPr>
          <w:cantSplit/>
          <w:tblHeader/>
        </w:trPr>
        <w:tc>
          <w:tcPr>
            <w:tcW w:type="dxa" w:w="2448"/>
            <w:shd w:val="clear" w:color="auto" w:fill="2E7D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Location Type</w:t>
            </w:r>
          </w:p>
        </w:tc>
        <w:tc>
          <w:tcPr>
            <w:tcW w:type="dxa" w:w="3168"/>
            <w:shd w:val="clear" w:color="auto" w:fill="2E7D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Plate Style</w:t>
            </w:r>
          </w:p>
        </w:tc>
        <w:tc>
          <w:tcPr>
            <w:tcW w:type="dxa" w:w="2304"/>
            <w:shd w:val="clear" w:color="auto" w:fill="2E7D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Port Count</w:t>
            </w:r>
          </w:p>
        </w:tc>
        <w:tc>
          <w:tcPr>
            <w:tcW w:type="dxa" w:w="2016"/>
            <w:shd w:val="clear" w:color="auto" w:fill="2E7D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Labels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Workstation</w:t>
            </w:r>
          </w:p>
        </w:tc>
        <w:tc>
          <w:tcPr>
            <w:tcW w:type="dxa" w:w="3168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Single-gang flush, white</w:t>
            </w:r>
          </w:p>
        </w:tc>
        <w:tc>
          <w:tcPr>
            <w:tcW w:type="dxa" w:w="2304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2 (1 blue data, 1 white voice)</w:t>
            </w:r>
          </w:p>
        </w:tc>
        <w:tc>
          <w:tcPr>
            <w:tcW w:type="dxa" w:w="2016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Room-port format per TIA-606-C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WAP</w:t>
            </w:r>
          </w:p>
        </w:tc>
        <w:tc>
          <w:tcPr>
            <w:tcW w:type="dxa" w:w="3168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Ceiling mount (if exposed); above-tile flush (standard)</w:t>
            </w:r>
          </w:p>
        </w:tc>
        <w:tc>
          <w:tcPr>
            <w:tcW w:type="dxa" w:w="2304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1 (blue data)</w:t>
            </w:r>
          </w:p>
        </w:tc>
        <w:tc>
          <w:tcPr>
            <w:tcW w:type="dxa" w:w="2016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WAP-# label on cable + plate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Camera drop</w:t>
            </w:r>
          </w:p>
        </w:tc>
        <w:tc>
          <w:tcPr>
            <w:tcW w:type="dxa" w:w="3168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Ceiling mount if exposed; plate above tile</w:t>
            </w:r>
          </w:p>
        </w:tc>
        <w:tc>
          <w:tcPr>
            <w:tcW w:type="dxa" w:w="2304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1 (green CCTV)</w:t>
            </w:r>
          </w:p>
        </w:tc>
        <w:tc>
          <w:tcPr>
            <w:tcW w:type="dxa" w:w="2016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CAM-# label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ACS reader</w:t>
            </w:r>
          </w:p>
        </w:tc>
        <w:tc>
          <w:tcPr>
            <w:tcW w:type="dxa" w:w="3168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Single-gang, color per finish schedule</w:t>
            </w:r>
          </w:p>
        </w:tc>
        <w:tc>
          <w:tcPr>
            <w:tcW w:type="dxa" w:w="2304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1 (red ACS + 22/4)</w:t>
            </w:r>
          </w:p>
        </w:tc>
        <w:tc>
          <w:tcPr>
            <w:tcW w:type="dxa" w:w="2016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DR-# label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Conference room</w:t>
            </w:r>
          </w:p>
        </w:tc>
        <w:tc>
          <w:tcPr>
            <w:tcW w:type="dxa" w:w="3168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Single-gang flush, white</w:t>
            </w:r>
          </w:p>
        </w:tc>
        <w:tc>
          <w:tcPr>
            <w:tcW w:type="dxa" w:w="2304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{{spec count}}</w:t>
            </w:r>
          </w:p>
        </w:tc>
        <w:tc>
          <w:tcPr>
            <w:tcW w:type="dxa" w:w="2016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Room-port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Kiosk / wall display</w:t>
            </w:r>
          </w:p>
        </w:tc>
        <w:tc>
          <w:tcPr>
            <w:tcW w:type="dxa" w:w="3168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Single-gang flush, white</w:t>
            </w:r>
          </w:p>
        </w:tc>
        <w:tc>
          <w:tcPr>
            <w:tcW w:type="dxa" w:w="2304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1 (blue data)</w:t>
            </w:r>
          </w:p>
        </w:tc>
        <w:tc>
          <w:tcPr>
            <w:tcW w:type="dxa" w:w="2016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KIOSK-#</w:t>
            </w:r>
          </w:p>
        </w:tc>
      </w:tr>
    </w:tbl>
    <w:p>
      <w:pPr>
        <w:spacing w:after="120"/>
      </w:pPr>
    </w:p>
    <w:p>
      <w:pPr>
        <w:keepNext/>
        <w:pageBreakBefore/>
        <w:spacing w:before="0" w:after="80"/>
      </w:pPr>
      <w:r>
        <w:rPr>
          <w:rFonts w:ascii="Calibri" w:hAnsi="Calibri"/>
          <w:b/>
          <w:color w:val="2E7D32"/>
          <w:sz w:val="32"/>
        </w:rPr>
        <w:t>4.  TR / IDF / MDF Buildouts</w:t>
      </w:r>
    </w:p>
    <w:p>
      <w:pPr>
        <w:keepNext/>
        <w:spacing w:before="0" w:after="200"/>
        <w:pBdr>
          <w:bottom w:val="single" w:sz="8" w:color="2E7D32"/>
        </w:pBdr>
      </w:pPr>
    </w:p>
    <w:p>
      <w:pPr>
        <w:keepNext/>
        <w:spacing w:before="200" w:after="80"/>
      </w:pPr>
      <w:r>
        <w:rPr>
          <w:rFonts w:ascii="Calibri" w:hAnsi="Calibri"/>
          <w:b/>
          <w:color w:val="455A64"/>
          <w:sz w:val="22"/>
        </w:rPr>
        <w:t>MDF (head-end)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42U floor-standing rack (or as specified) — ladder rack overhead, vertical cable managers both sides.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3/4" fire-treated plywood backboard, painted dove-gray, floor-to-ceiling wall.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#6 AWG grounding buss bar at 18" AFF, tied to building ground electrode (verify with EC).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Horizontal patch panels: 48-port Cat6A, 1U each, populated per drop count.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Fiber housing: 4U LIU/FDF with LC couplers, populated per backbone strand count.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PDU: 20A L5-20R, minimum 2 per rack (A+B feed if redundant power available).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UPS: sized per active-equipment load (sized at closeout, not base bid).</w:t>
      </w:r>
    </w:p>
    <w:p>
      <w:pPr>
        <w:keepNext/>
        <w:spacing w:before="200" w:after="80"/>
      </w:pPr>
      <w:r>
        <w:rPr>
          <w:rFonts w:ascii="Calibri" w:hAnsi="Calibri"/>
          <w:b/>
          <w:color w:val="455A64"/>
          <w:sz w:val="22"/>
        </w:rPr>
        <w:t>IDF (intermediate)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Wall-mount rack (typ.) or 42U floor-standing (on spec).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Plywood backboard, buss bar, PDU — same spec as MDF.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Fiber backbone termination: LIU sized to strand count + 100% spare capacity.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Horizontal patch panels sized to drop count per closet.</w:t>
      </w:r>
    </w:p>
    <w:p>
      <w:pPr>
        <w:keepNext/>
        <w:spacing w:before="200" w:after="80"/>
      </w:pPr>
      <w:r>
        <w:rPr>
          <w:rFonts w:ascii="Calibri" w:hAnsi="Calibri"/>
          <w:b/>
          <w:color w:val="455A64"/>
          <w:sz w:val="22"/>
        </w:rPr>
        <w:t>Cable management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Vertical managers both sides of rack.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Horizontal manager 1U between every patch panel.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Velcro bundles only — no zip ties on horizontal cable in rack.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Service loops dressed overhead, coiled, velcro-bound.</w:t>
      </w:r>
    </w:p>
    <w:p>
      <w:pPr>
        <w:keepNext/>
        <w:pageBreakBefore/>
        <w:spacing w:before="0" w:after="80"/>
      </w:pPr>
      <w:r>
        <w:rPr>
          <w:rFonts w:ascii="Calibri" w:hAnsi="Calibri"/>
          <w:b/>
          <w:color w:val="2E7D32"/>
          <w:sz w:val="32"/>
        </w:rPr>
        <w:t>5.  Cable LF Totals</w:t>
      </w:r>
    </w:p>
    <w:p>
      <w:pPr>
        <w:keepNext/>
        <w:spacing w:before="0" w:after="200"/>
        <w:pBdr>
          <w:bottom w:val="single" w:sz="8" w:color="2E7D32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1296"/>
        <w:gridCol w:w="1008"/>
        <w:gridCol w:w="864"/>
        <w:gridCol w:w="1440"/>
        <w:gridCol w:w="2304"/>
      </w:tblGrid>
      <w:tr>
        <w:trPr>
          <w:cantSplit/>
          <w:tblHeader/>
        </w:trPr>
        <w:tc>
          <w:tcPr>
            <w:tcW w:type="dxa" w:w="3024"/>
            <w:shd w:val="clear" w:color="auto" w:fill="2E7D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Cable Type</w:t>
            </w:r>
          </w:p>
        </w:tc>
        <w:tc>
          <w:tcPr>
            <w:tcW w:type="dxa" w:w="1296"/>
            <w:shd w:val="clear" w:color="auto" w:fill="2E7D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Drops / Strands</w:t>
            </w:r>
          </w:p>
        </w:tc>
        <w:tc>
          <w:tcPr>
            <w:tcW w:type="dxa" w:w="1008"/>
            <w:shd w:val="clear" w:color="auto" w:fill="2E7D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Avg Run</w:t>
            </w:r>
          </w:p>
        </w:tc>
        <w:tc>
          <w:tcPr>
            <w:tcW w:type="dxa" w:w="864"/>
            <w:shd w:val="clear" w:color="auto" w:fill="2E7D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Waste %</w:t>
            </w:r>
          </w:p>
        </w:tc>
        <w:tc>
          <w:tcPr>
            <w:tcW w:type="dxa" w:w="1440"/>
            <w:shd w:val="clear" w:color="auto" w:fill="2E7D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Total LF</w:t>
            </w:r>
          </w:p>
        </w:tc>
        <w:tc>
          <w:tcPr>
            <w:tcW w:type="dxa" w:w="2304"/>
            <w:shd w:val="clear" w:color="auto" w:fill="2E7D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Boxes / Reels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Cat6A plenum (data)</w:t>
            </w:r>
          </w:p>
        </w:tc>
        <w:tc>
          <w:tcPr>
            <w:tcW w:type="dxa" w:w="1296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{{}}</w:t>
            </w:r>
          </w:p>
        </w:tc>
        <w:tc>
          <w:tcPr>
            <w:tcW w:type="dxa" w:w="1008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{{avg}} ft</w:t>
            </w:r>
          </w:p>
        </w:tc>
        <w:tc>
          <w:tcPr>
            <w:tcW w:type="dxa" w:w="864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10%</w:t>
            </w:r>
          </w:p>
        </w:tc>
        <w:tc>
          <w:tcPr>
            <w:tcW w:type="dxa" w:w="1440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{{}}</w:t>
            </w:r>
          </w:p>
        </w:tc>
        <w:tc>
          <w:tcPr>
            <w:tcW w:type="dxa" w:w="2304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{{}}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Cat6A plenum (voice)</w:t>
            </w:r>
          </w:p>
        </w:tc>
        <w:tc>
          <w:tcPr>
            <w:tcW w:type="dxa" w:w="1296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{{}}</w:t>
            </w:r>
          </w:p>
        </w:tc>
        <w:tc>
          <w:tcPr>
            <w:tcW w:type="dxa" w:w="1008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{{avg}} ft</w:t>
            </w:r>
          </w:p>
        </w:tc>
        <w:tc>
          <w:tcPr>
            <w:tcW w:type="dxa" w:w="864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10%</w:t>
            </w:r>
          </w:p>
        </w:tc>
        <w:tc>
          <w:tcPr>
            <w:tcW w:type="dxa" w:w="1440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{{}}</w:t>
            </w:r>
          </w:p>
        </w:tc>
        <w:tc>
          <w:tcPr>
            <w:tcW w:type="dxa" w:w="2304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{{}}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Cat6A plenum (CCTV)</w:t>
            </w:r>
          </w:p>
        </w:tc>
        <w:tc>
          <w:tcPr>
            <w:tcW w:type="dxa" w:w="1296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{{}}</w:t>
            </w:r>
          </w:p>
        </w:tc>
        <w:tc>
          <w:tcPr>
            <w:tcW w:type="dxa" w:w="1008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{{avg}} ft</w:t>
            </w:r>
          </w:p>
        </w:tc>
        <w:tc>
          <w:tcPr>
            <w:tcW w:type="dxa" w:w="864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10%</w:t>
            </w:r>
          </w:p>
        </w:tc>
        <w:tc>
          <w:tcPr>
            <w:tcW w:type="dxa" w:w="1440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{{}}</w:t>
            </w:r>
          </w:p>
        </w:tc>
        <w:tc>
          <w:tcPr>
            <w:tcW w:type="dxa" w:w="2304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{{}}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Cat6A plenum (ACS)</w:t>
            </w:r>
          </w:p>
        </w:tc>
        <w:tc>
          <w:tcPr>
            <w:tcW w:type="dxa" w:w="1296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{{}}</w:t>
            </w:r>
          </w:p>
        </w:tc>
        <w:tc>
          <w:tcPr>
            <w:tcW w:type="dxa" w:w="1008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{{avg}} ft</w:t>
            </w:r>
          </w:p>
        </w:tc>
        <w:tc>
          <w:tcPr>
            <w:tcW w:type="dxa" w:w="864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10%</w:t>
            </w:r>
          </w:p>
        </w:tc>
        <w:tc>
          <w:tcPr>
            <w:tcW w:type="dxa" w:w="1440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{{}}</w:t>
            </w:r>
          </w:p>
        </w:tc>
        <w:tc>
          <w:tcPr>
            <w:tcW w:type="dxa" w:w="2304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{{}}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Fiber OS2 SM backbone</w:t>
            </w:r>
          </w:p>
        </w:tc>
        <w:tc>
          <w:tcPr>
            <w:tcW w:type="dxa" w:w="1296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{{}}</w:t>
            </w:r>
          </w:p>
        </w:tc>
        <w:tc>
          <w:tcPr>
            <w:tcW w:type="dxa" w:w="1008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{{}} ft</w:t>
            </w:r>
          </w:p>
        </w:tc>
        <w:tc>
          <w:tcPr>
            <w:tcW w:type="dxa" w:w="864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5%</w:t>
            </w:r>
          </w:p>
        </w:tc>
        <w:tc>
          <w:tcPr>
            <w:tcW w:type="dxa" w:w="1440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{{}}</w:t>
            </w:r>
          </w:p>
        </w:tc>
        <w:tc>
          <w:tcPr>
            <w:tcW w:type="dxa" w:w="2304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{{}}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22/4 composite (ACS)</w:t>
            </w:r>
          </w:p>
        </w:tc>
        <w:tc>
          <w:tcPr>
            <w:tcW w:type="dxa" w:w="1296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{{}}</w:t>
            </w:r>
          </w:p>
        </w:tc>
        <w:tc>
          <w:tcPr>
            <w:tcW w:type="dxa" w:w="1008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{{}} ft</w:t>
            </w:r>
          </w:p>
        </w:tc>
        <w:tc>
          <w:tcPr>
            <w:tcW w:type="dxa" w:w="864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10%</w:t>
            </w:r>
          </w:p>
        </w:tc>
        <w:tc>
          <w:tcPr>
            <w:tcW w:type="dxa" w:w="1440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{{}}</w:t>
            </w:r>
          </w:p>
        </w:tc>
        <w:tc>
          <w:tcPr>
            <w:tcW w:type="dxa" w:w="2304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{{}}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RG-6 plenum coax</w:t>
            </w:r>
          </w:p>
        </w:tc>
        <w:tc>
          <w:tcPr>
            <w:tcW w:type="dxa" w:w="1296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{{}}</w:t>
            </w:r>
          </w:p>
        </w:tc>
        <w:tc>
          <w:tcPr>
            <w:tcW w:type="dxa" w:w="1008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{{}} ft</w:t>
            </w:r>
          </w:p>
        </w:tc>
        <w:tc>
          <w:tcPr>
            <w:tcW w:type="dxa" w:w="864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10%</w:t>
            </w:r>
          </w:p>
        </w:tc>
        <w:tc>
          <w:tcPr>
            <w:tcW w:type="dxa" w:w="1440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{{}}</w:t>
            </w:r>
          </w:p>
        </w:tc>
        <w:tc>
          <w:tcPr>
            <w:tcW w:type="dxa" w:w="2304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r>
              <w:rPr>
                <w:rFonts w:ascii="Calibri" w:hAnsi="Calibri"/>
                <w:color w:val="455A64"/>
                <w:sz w:val="20"/>
              </w:rPr>
              <w:t>{{}}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Calibri" w:hAnsi="Calibri"/>
          <w:b w:val="0"/>
          <w:i w:val="0"/>
          <w:color w:val="455A64"/>
          <w:sz w:val="20"/>
        </w:rPr>
      </w:r>
    </w:p>
    <w:p>
      <w:pPr>
        <w:spacing w:after="200"/>
      </w:pPr>
      <w:r>
        <w:rPr>
          <w:rFonts w:ascii="Calibri" w:hAnsi="Calibri"/>
          <w:b w:val="0"/>
          <w:i/>
          <w:color w:val="455A64"/>
          <w:sz w:val="18"/>
        </w:rPr>
        <w:t>Box count: ⌈total LF / 1000⌉ × 1.05 (5% safety stock per Conservative Labor Rule). Fiber reel count: round up to next standard reel length carried by supplier.</w:t>
      </w:r>
    </w:p>
    <w:p>
      <w:pPr>
        <w:keepNext/>
        <w:pageBreakBefore/>
        <w:spacing w:before="0" w:after="80"/>
      </w:pPr>
      <w:r>
        <w:rPr>
          <w:rFonts w:ascii="Calibri" w:hAnsi="Calibri"/>
          <w:b/>
          <w:color w:val="2E7D32"/>
          <w:sz w:val="32"/>
        </w:rPr>
        <w:t>6.  Field Rules (for installers)</w:t>
      </w:r>
    </w:p>
    <w:p>
      <w:pPr>
        <w:keepNext/>
        <w:spacing w:before="0" w:after="200"/>
        <w:pBdr>
          <w:bottom w:val="single" w:sz="8" w:color="2E7D32"/>
        </w:pBdr>
      </w:pP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No cable touches a ceiling tile, pipe, sprinkler, or lighting fixture. All supported by J-hook, cable tray, or EMT.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J-hook spacing: max 4 ft center-to-center above accessible ceiling.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Bend radius: Cat6A = 4× cable OD minimum (typically 1"); fiber = 10× cable OD minimum.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Pull tension: Cat6A max 25 lbf; fiber max 600 lbf (long-term), 200 lbf (pull).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Firestop: installed by others (GCC does not carry firestop in base bid — see Bid Proposal §7.C).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Labels: printed (Brother P-touch or equivalent) — hand-written labels never accepted at closeout.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Every cable tested at termination; fails get reworked on the spot, not deferred.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Daily close-out: crew logs installed cable count + location in Field Guide.</w:t>
      </w:r>
    </w:p>
    <w:p>
      <w:pPr>
        <w:keepNext/>
        <w:pageBreakBefore/>
        <w:spacing w:before="0" w:after="80"/>
      </w:pPr>
      <w:r>
        <w:rPr>
          <w:rFonts w:ascii="Calibri" w:hAnsi="Calibri"/>
          <w:b/>
          <w:color w:val="2E7D32"/>
          <w:sz w:val="32"/>
        </w:rPr>
        <w:t>7.  Reconciliation Sources</w:t>
      </w:r>
    </w:p>
    <w:p>
      <w:pPr>
        <w:keepNext/>
        <w:spacing w:before="0" w:after="200"/>
        <w:pBdr>
          <w:bottom w:val="single" w:sz="8" w:color="2E7D32"/>
        </w:pBdr>
      </w:pP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Drop counts: `{{Job}}/Internal/Drop Counts.pdf`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BTQ quantities: `{{Job}}/Internal/BTQ.xlsx` — cable subtotal must match §5 total LF.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Labor Plan: `{{Job}}/Internal/Labor Plan.xlsx` — per-drop hours reconcile with Master Catalog Services sheet.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Field Guide: `{{Job}}/Internal/Field Guide.pdf` — installer's floor-by-floor checklist reads from this doc.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080" w:bottom="1152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b/>
        <w:i/>
        <w:color w:val="C62828"/>
        <w:sz w:val="16"/>
      </w:rPr>
      <w:t xml:space="preserve">INTERNAL — CONFIDENTIAL · DO NOT SHARE WITH GC · </w:t>
    </w:r>
    <w:r>
      <w:rPr>
        <w:rFonts w:ascii="Calibri" w:hAnsi="Calibri"/>
        <w:i/>
        <w:color w:val="455A64"/>
        <w:sz w:val="16"/>
      </w:rPr>
      <w:t xml:space="preserve">Page </w:t>
    </w:r>
    <w:fldSimple w:instr="PAGE">
      <w:r>
        <w:rPr>
          <w:rFonts w:ascii="Calibri" w:hAnsi="Calibri"/>
          <w:sz w:val="16"/>
          <w:i/>
          <w:color w:val="455A64"/>
        </w:rPr>
        <w:t>#</w:t>
      </w:r>
    </w:fldSimple>
    <w:r>
      <w:rPr>
        <w:rFonts w:ascii="Calibri" w:hAnsi="Calibri"/>
        <w:i/>
        <w:color w:val="455A64"/>
        <w:sz w:val="16"/>
      </w:rPr>
      <w:t xml:space="preserve"> of </w:t>
    </w:r>
    <w:fldSimple w:instr="NUMPAGES">
      <w:r>
        <w:rPr>
          <w:rFonts w:ascii="Calibri" w:hAnsi="Calibri"/>
          <w:sz w:val="16"/>
          <w:i/>
          <w:color w:val="455A64"/>
        </w:rPr>
        <w:t>#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440"/>
      <w:gridCol w:w="8496"/>
    </w:tblGrid>
    <w:tr>
      <w:tc>
        <w:tcPr>
          <w:tcW w:type="dxa" w:w="1440"/>
        </w:tcPr>
        <w:p>
          <w:pPr>
            <w:spacing w:before="0" w:after="0"/>
          </w:pPr>
          <w:r>
            <w:drawing>
              <wp:inline xmlns:a="http://schemas.openxmlformats.org/drawingml/2006/main" xmlns:pic="http://schemas.openxmlformats.org/drawingml/2006/picture">
                <wp:extent cx="457200" cy="457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gcc logo only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457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496"/>
        </w:tcPr>
        <w:p>
          <w:pPr>
            <w:spacing w:before="0" w:after="0"/>
            <w:jc w:val="right"/>
          </w:pPr>
          <w:r>
            <w:rPr>
              <w:rFonts w:ascii="Calibri" w:hAnsi="Calibri"/>
              <w:b/>
              <w:color w:val="2E7D32"/>
              <w:sz w:val="22"/>
            </w:rPr>
            <w:t>Cable Schedule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b/>
              <w:i/>
              <w:color w:val="C62828"/>
              <w:sz w:val="16"/>
            </w:rPr>
            <w:t>INTERNAL — DO NOT SHARE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Cable Schedule — {{JOB NAME}}</dc:title>
  <dc:subject>INTERNAL — Cable specification, service loops, TR buildouts</dc:subject>
  <dc:creator>GCC LLC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