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2E7D32"/>
          <w:sz w:val="44"/>
        </w:rPr>
        <w:t>FINANCE SUMMARY</w:t>
      </w:r>
    </w:p>
    <w:p>
      <w:pPr>
        <w:spacing w:after="80"/>
        <w:jc w:val="center"/>
      </w:pPr>
      <w:r>
        <w:rPr>
          <w:rFonts w:ascii="Calibri" w:hAnsi="Calibri"/>
          <w:b w:val="0"/>
          <w:i/>
          <w:color w:val="455A64"/>
          <w:sz w:val="22"/>
        </w:rPr>
        <w:t>{{JOB NAME}} — {{GC NAME}} — {{SITE CITY, STATE}}</w:t>
      </w:r>
    </w:p>
    <w:p>
      <w:pPr>
        <w:pBdr>
          <w:bottom w:val="single" w:sz="12" w:color="2E7D32"/>
        </w:pBdr>
      </w:pPr>
    </w:p>
    <w:tbl>
      <w:tblPr>
        <w:tblW w:type="auto" w:w="0"/>
        <w:tblLayout w:type="fixed"/>
        <w:tblLook w:firstColumn="1" w:firstRow="1" w:lastColumn="0" w:lastRow="0" w:noHBand="0" w:noVBand="1" w:val="04A0"/>
      </w:tblPr>
      <w:tblGrid>
        <w:gridCol w:w="10080"/>
      </w:tblGrid>
      <w:tr>
        <w:tc>
          <w:tcPr>
            <w:tcW w:type="dxa" w:w="9936"/>
            <w:shd w:val="clear" w:color="auto" w:fill="FBEEEE"/>
            <w:tcBorders>
              <w:top w:val="single" w:sz="8" w:color="C62828"/>
              <w:left w:val="single" w:sz="8" w:color="C62828"/>
              <w:bottom w:val="single" w:sz="8" w:color="C62828"/>
              <w:right w:val="single" w:sz="8" w:color="C62828"/>
            </w:tcBorders>
          </w:tcPr>
          <w:p>
            <w:pPr>
              <w:spacing w:before="120" w:after="120"/>
              <w:jc w:val="center"/>
            </w:pPr>
            <w:r>
              <w:rPr>
                <w:rFonts w:ascii="Calibri" w:hAnsi="Calibri"/>
                <w:b/>
                <w:color w:val="C62828"/>
                <w:sz w:val="24"/>
              </w:rPr>
              <w:t>INTERNAL DOCUMENT — GCC EYES ONLY</w:t>
            </w:r>
          </w:p>
          <w:p>
            <w:pPr>
              <w:spacing w:before="0" w:after="120"/>
              <w:jc w:val="center"/>
            </w:pPr>
            <w:r>
              <w:rPr>
                <w:rFonts w:ascii="Calibri" w:hAnsi="Calibri"/>
                <w:i/>
                <w:color w:val="C62828"/>
                <w:sz w:val="18"/>
              </w:rPr>
              <w:t>Contains internal cost rates, margin analysis, and strategy. Never attach to a proposal, quote, or email to a GC, Owner, or Subcontractor.</w:t>
            </w:r>
          </w:p>
        </w:tc>
      </w:tr>
    </w:tbl>
    <w:p>
      <w:pPr>
        <w:spacing w:after="200"/>
      </w:pPr>
    </w:p>
    <w:p>
      <w:pPr>
        <w:spacing w:after="80"/>
      </w:pPr>
      <w:r>
        <w:rPr>
          <w:rFonts w:ascii="Calibri" w:hAnsi="Calibri"/>
          <w:b/>
          <w:i w:val="0"/>
          <w:color w:val="2E7D32"/>
          <w:sz w:val="22"/>
        </w:rPr>
        <w:t>PURPOSE</w:t>
      </w:r>
    </w:p>
    <w:p>
      <w:pPr>
        <w:spacing w:after="160"/>
      </w:pPr>
      <w:r>
        <w:rPr>
          <w:rFonts w:ascii="Calibri" w:hAnsi="Calibri"/>
          <w:b w:val="0"/>
          <w:i w:val="0"/>
          <w:color w:val="455A64"/>
          <w:sz w:val="20"/>
        </w:rPr>
        <w:t>Internal margin and scenario analysis for this bid. Consolidates cost basis from the Master Catalog (Materials Sheet 2, Equipment Sheet 1, Services Sheet 3), labor hours from the Labor Plan, and soft costs. Drives the Base Bid submitted on the Bid Proposal and tracks margin against the 28–35% target. Reconciles with BTQ totals and Cable Schedule LF quantities.</w:t>
      </w:r>
    </w:p>
    <w:p>
      <w:pPr>
        <w:spacing w:after="200"/>
      </w:pPr>
      <w:r>
        <w:rPr>
          <w:rFonts w:ascii="Calibri" w:hAnsi="Calibri"/>
          <w:b w:val="0"/>
          <w:i/>
          <w:color w:val="455A64"/>
          <w:sz w:val="18"/>
        </w:rPr>
        <w:t>This document never ships to the GC, Owner, or any subcontractor. All cost rates, margins, and scenario forecasts are GCC internal only.</w:t>
      </w:r>
    </w:p>
    <w:p>
      <w:pPr>
        <w:keepNext/>
        <w:pageBreakBefore/>
        <w:spacing w:before="0" w:after="80"/>
      </w:pPr>
      <w:r>
        <w:rPr>
          <w:rFonts w:ascii="Calibri" w:hAnsi="Calibri"/>
          <w:b/>
          <w:color w:val="2E7D32"/>
          <w:sz w:val="32"/>
        </w:rPr>
        <w:t>1.  Executive Snapshot</w:t>
      </w:r>
    </w:p>
    <w:p>
      <w:pPr>
        <w:keepNext/>
        <w:spacing w:before="0" w:after="200"/>
        <w:pBdr>
          <w:bottom w:val="single" w:sz="8" w:color="2E7D32"/>
        </w:pBdr>
      </w:pPr>
    </w:p>
    <w:tbl>
      <w:tblPr>
        <w:tblW w:type="auto" w:w="0"/>
        <w:tblLayout w:type="fixed"/>
        <w:tblLook w:firstColumn="1" w:firstRow="1" w:lastColumn="0" w:lastRow="0" w:noHBand="0" w:noVBand="1" w:val="04A0"/>
      </w:tblPr>
      <w:tblGrid>
        <w:gridCol w:w="4320"/>
        <w:gridCol w:w="5616"/>
      </w:tblGrid>
      <w:tr>
        <w:trPr>
          <w:cantSplit/>
          <w:tblHeader/>
        </w:trPr>
        <w:tc>
          <w:tcPr>
            <w:tcW w:type="dxa" w:w="432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Metric</w:t>
            </w:r>
          </w:p>
        </w:tc>
        <w:tc>
          <w:tcPr>
            <w:tcW w:type="dxa" w:w="5616"/>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Value</w:t>
            </w:r>
          </w:p>
        </w:tc>
      </w:tr>
      <w:tr>
        <w:trPr>
          <w:cantSplit/>
        </w:trPr>
        <w:tc>
          <w:tcPr>
            <w:tcW w:type="dxa" w:w="432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Base Bid (submitted)</w:t>
            </w:r>
          </w:p>
        </w:tc>
        <w:tc>
          <w:tcPr>
            <w:tcW w:type="dxa" w:w="561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${{BASE_BID}}</w:t>
            </w:r>
          </w:p>
        </w:tc>
      </w:tr>
      <w:tr>
        <w:trPr>
          <w:cantSplit/>
        </w:trPr>
        <w:tc>
          <w:tcPr>
            <w:tcW w:type="dxa" w:w="4320"/>
            <w:tcBorders>
              <w:top w:val="single" w:sz="4" w:color="455A64"/>
              <w:left w:val="single" w:sz="4" w:color="455A64"/>
              <w:bottom w:val="single" w:sz="4" w:color="455A64"/>
              <w:right w:val="single" w:sz="4" w:color="455A64"/>
            </w:tcBorders>
            <w:vAlign w:val="center"/>
          </w:tcPr>
          <w:p>
            <w:r>
              <w:rPr>
                <w:rFonts w:ascii="Calibri" w:hAnsi="Calibri"/>
                <w:color w:val="455A64"/>
                <w:sz w:val="20"/>
              </w:rPr>
              <w:t>Total Cost (internal)</w:t>
            </w:r>
          </w:p>
        </w:tc>
        <w:tc>
          <w:tcPr>
            <w:tcW w:type="dxa" w:w="5616"/>
            <w:tcBorders>
              <w:top w:val="single" w:sz="4" w:color="455A64"/>
              <w:left w:val="single" w:sz="4" w:color="455A64"/>
              <w:bottom w:val="single" w:sz="4" w:color="455A64"/>
              <w:right w:val="single" w:sz="4" w:color="455A64"/>
            </w:tcBorders>
            <w:vAlign w:val="center"/>
          </w:tcPr>
          <w:p>
            <w:r>
              <w:rPr>
                <w:rFonts w:ascii="Calibri" w:hAnsi="Calibri"/>
                <w:color w:val="455A64"/>
                <w:sz w:val="20"/>
              </w:rPr>
              <w:t>${{TOTAL_COST}}</w:t>
            </w:r>
          </w:p>
        </w:tc>
      </w:tr>
      <w:tr>
        <w:trPr>
          <w:cantSplit/>
        </w:trPr>
        <w:tc>
          <w:tcPr>
            <w:tcW w:type="dxa" w:w="432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Gross Profit</w:t>
            </w:r>
          </w:p>
        </w:tc>
        <w:tc>
          <w:tcPr>
            <w:tcW w:type="dxa" w:w="561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${{GROSS_PROFIT}}</w:t>
            </w:r>
          </w:p>
        </w:tc>
      </w:tr>
      <w:tr>
        <w:trPr>
          <w:cantSplit/>
        </w:trPr>
        <w:tc>
          <w:tcPr>
            <w:tcW w:type="dxa" w:w="4320"/>
            <w:tcBorders>
              <w:top w:val="single" w:sz="4" w:color="455A64"/>
              <w:left w:val="single" w:sz="4" w:color="455A64"/>
              <w:bottom w:val="single" w:sz="4" w:color="455A64"/>
              <w:right w:val="single" w:sz="4" w:color="455A64"/>
            </w:tcBorders>
            <w:vAlign w:val="center"/>
          </w:tcPr>
          <w:p>
            <w:r>
              <w:rPr>
                <w:rFonts w:ascii="Calibri" w:hAnsi="Calibri"/>
                <w:color w:val="455A64"/>
                <w:sz w:val="20"/>
              </w:rPr>
              <w:t>Gross Margin %</w:t>
            </w:r>
          </w:p>
        </w:tc>
        <w:tc>
          <w:tcPr>
            <w:tcW w:type="dxa" w:w="5616"/>
            <w:tcBorders>
              <w:top w:val="single" w:sz="4" w:color="455A64"/>
              <w:left w:val="single" w:sz="4" w:color="455A64"/>
              <w:bottom w:val="single" w:sz="4" w:color="455A64"/>
              <w:right w:val="single" w:sz="4" w:color="455A64"/>
            </w:tcBorders>
            <w:vAlign w:val="center"/>
          </w:tcPr>
          <w:p>
            <w:r>
              <w:rPr>
                <w:rFonts w:ascii="Calibri" w:hAnsi="Calibri"/>
                <w:color w:val="455A64"/>
                <w:sz w:val="20"/>
              </w:rPr>
              <w:t>{{GROSS_MARGIN}}%</w:t>
            </w:r>
          </w:p>
        </w:tc>
      </w:tr>
      <w:tr>
        <w:trPr>
          <w:cantSplit/>
        </w:trPr>
        <w:tc>
          <w:tcPr>
            <w:tcW w:type="dxa" w:w="432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Margin vs. target (28-35%)</w:t>
            </w:r>
          </w:p>
        </w:tc>
        <w:tc>
          <w:tcPr>
            <w:tcW w:type="dxa" w:w="561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{{ON TARGET / ABOVE / BELOW}}</w:t>
            </w:r>
          </w:p>
        </w:tc>
      </w:tr>
      <w:tr>
        <w:trPr>
          <w:cantSplit/>
        </w:trPr>
        <w:tc>
          <w:tcPr>
            <w:tcW w:type="dxa" w:w="4320"/>
            <w:tcBorders>
              <w:top w:val="single" w:sz="4" w:color="455A64"/>
              <w:left w:val="single" w:sz="4" w:color="455A64"/>
              <w:bottom w:val="single" w:sz="4" w:color="455A64"/>
              <w:right w:val="single" w:sz="4" w:color="455A64"/>
            </w:tcBorders>
            <w:vAlign w:val="center"/>
          </w:tcPr>
          <w:p>
            <w:r>
              <w:rPr>
                <w:rFonts w:ascii="Calibri" w:hAnsi="Calibri"/>
                <w:color w:val="455A64"/>
                <w:sz w:val="20"/>
              </w:rPr>
              <w:t>Labor Hours (total)</w:t>
            </w:r>
          </w:p>
        </w:tc>
        <w:tc>
          <w:tcPr>
            <w:tcW w:type="dxa" w:w="5616"/>
            <w:tcBorders>
              <w:top w:val="single" w:sz="4" w:color="455A64"/>
              <w:left w:val="single" w:sz="4" w:color="455A64"/>
              <w:bottom w:val="single" w:sz="4" w:color="455A64"/>
              <w:right w:val="single" w:sz="4" w:color="455A64"/>
            </w:tcBorders>
            <w:vAlign w:val="center"/>
          </w:tcPr>
          <w:p>
            <w:r>
              <w:rPr>
                <w:rFonts w:ascii="Calibri" w:hAnsi="Calibri"/>
                <w:color w:val="455A64"/>
                <w:sz w:val="20"/>
              </w:rPr>
              <w:t>{{LABOR_HOURS}}</w:t>
            </w:r>
          </w:p>
        </w:tc>
      </w:tr>
      <w:tr>
        <w:trPr>
          <w:cantSplit/>
        </w:trPr>
        <w:tc>
          <w:tcPr>
            <w:tcW w:type="dxa" w:w="432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Material Cost</w:t>
            </w:r>
          </w:p>
        </w:tc>
        <w:tc>
          <w:tcPr>
            <w:tcW w:type="dxa" w:w="561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${{MAT_COST}}</w:t>
            </w:r>
          </w:p>
        </w:tc>
      </w:tr>
      <w:tr>
        <w:trPr>
          <w:cantSplit/>
        </w:trPr>
        <w:tc>
          <w:tcPr>
            <w:tcW w:type="dxa" w:w="4320"/>
            <w:tcBorders>
              <w:top w:val="single" w:sz="4" w:color="455A64"/>
              <w:left w:val="single" w:sz="4" w:color="455A64"/>
              <w:bottom w:val="single" w:sz="4" w:color="455A64"/>
              <w:right w:val="single" w:sz="4" w:color="455A64"/>
            </w:tcBorders>
            <w:vAlign w:val="center"/>
          </w:tcPr>
          <w:p>
            <w:r>
              <w:rPr>
                <w:rFonts w:ascii="Calibri" w:hAnsi="Calibri"/>
                <w:color w:val="455A64"/>
                <w:sz w:val="20"/>
              </w:rPr>
              <w:t>Equipment Cost</w:t>
            </w:r>
          </w:p>
        </w:tc>
        <w:tc>
          <w:tcPr>
            <w:tcW w:type="dxa" w:w="5616"/>
            <w:tcBorders>
              <w:top w:val="single" w:sz="4" w:color="455A64"/>
              <w:left w:val="single" w:sz="4" w:color="455A64"/>
              <w:bottom w:val="single" w:sz="4" w:color="455A64"/>
              <w:right w:val="single" w:sz="4" w:color="455A64"/>
            </w:tcBorders>
            <w:vAlign w:val="center"/>
          </w:tcPr>
          <w:p>
            <w:r>
              <w:rPr>
                <w:rFonts w:ascii="Calibri" w:hAnsi="Calibri"/>
                <w:color w:val="455A64"/>
                <w:sz w:val="20"/>
              </w:rPr>
              <w:t>${{EQC}}</w:t>
            </w:r>
          </w:p>
        </w:tc>
      </w:tr>
      <w:tr>
        <w:trPr>
          <w:cantSplit/>
        </w:trPr>
        <w:tc>
          <w:tcPr>
            <w:tcW w:type="dxa" w:w="432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Services (labor-billed)</w:t>
            </w:r>
          </w:p>
        </w:tc>
        <w:tc>
          <w:tcPr>
            <w:tcW w:type="dxa" w:w="561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${{SVC_COST}}</w:t>
            </w:r>
          </w:p>
        </w:tc>
      </w:tr>
      <w:tr>
        <w:trPr>
          <w:cantSplit/>
        </w:trPr>
        <w:tc>
          <w:tcPr>
            <w:tcW w:type="dxa" w:w="4320"/>
            <w:tcBorders>
              <w:top w:val="single" w:sz="4" w:color="455A64"/>
              <w:left w:val="single" w:sz="4" w:color="455A64"/>
              <w:bottom w:val="single" w:sz="4" w:color="455A64"/>
              <w:right w:val="single" w:sz="4" w:color="455A64"/>
            </w:tcBorders>
            <w:vAlign w:val="center"/>
          </w:tcPr>
          <w:p>
            <w:r>
              <w:rPr>
                <w:rFonts w:ascii="Calibri" w:hAnsi="Calibri"/>
                <w:color w:val="455A64"/>
                <w:sz w:val="20"/>
              </w:rPr>
              <w:t>Soft Costs (bond, mob, ship)</w:t>
            </w:r>
          </w:p>
        </w:tc>
        <w:tc>
          <w:tcPr>
            <w:tcW w:type="dxa" w:w="5616"/>
            <w:tcBorders>
              <w:top w:val="single" w:sz="4" w:color="455A64"/>
              <w:left w:val="single" w:sz="4" w:color="455A64"/>
              <w:bottom w:val="single" w:sz="4" w:color="455A64"/>
              <w:right w:val="single" w:sz="4" w:color="455A64"/>
            </w:tcBorders>
            <w:vAlign w:val="center"/>
          </w:tcPr>
          <w:p>
            <w:r>
              <w:rPr>
                <w:rFonts w:ascii="Calibri" w:hAnsi="Calibri"/>
                <w:color w:val="455A64"/>
                <w:sz w:val="20"/>
              </w:rPr>
              <w:t>${{SOFT_COST}}</w:t>
            </w:r>
          </w:p>
        </w:tc>
      </w:tr>
    </w:tbl>
    <w:p>
      <w:pPr>
        <w:spacing w:after="120"/>
      </w:pPr>
    </w:p>
    <w:p>
      <w:pPr>
        <w:keepNext/>
        <w:pageBreakBefore/>
        <w:spacing w:before="0" w:after="80"/>
      </w:pPr>
      <w:r>
        <w:rPr>
          <w:rFonts w:ascii="Calibri" w:hAnsi="Calibri"/>
          <w:b/>
          <w:color w:val="2E7D32"/>
          <w:sz w:val="32"/>
        </w:rPr>
        <w:t>2.  Cost Breakdown</w:t>
      </w:r>
    </w:p>
    <w:p>
      <w:pPr>
        <w:keepNext/>
        <w:spacing w:before="0" w:after="200"/>
        <w:pBdr>
          <w:bottom w:val="single" w:sz="8" w:color="2E7D32"/>
        </w:pBdr>
      </w:pPr>
    </w:p>
    <w:p>
      <w:pPr>
        <w:keepNext/>
        <w:spacing w:before="200" w:after="80"/>
      </w:pPr>
      <w:r>
        <w:rPr>
          <w:rFonts w:ascii="Calibri" w:hAnsi="Calibri"/>
          <w:b/>
          <w:color w:val="455A64"/>
          <w:sz w:val="22"/>
        </w:rPr>
        <w:t>Materials (Master Catalog Sheet 2)</w:t>
      </w:r>
    </w:p>
    <w:p>
      <w:pPr>
        <w:spacing w:after="120"/>
      </w:pPr>
      <w:r>
        <w:rPr>
          <w:rFonts w:ascii="Calibri" w:hAnsi="Calibri"/>
          <w:b w:val="0"/>
          <w:i/>
          <w:color w:val="455A64"/>
          <w:sz w:val="18"/>
        </w:rPr>
        <w:t>Cost = Σ(qty × Price) — internal GCC cost including tax + shipping per supplier invoice. Sale = Σ(qty × Sale Price) — rolled into Base Bid Materials bucket.</w:t>
      </w:r>
    </w:p>
    <w:tbl>
      <w:tblPr>
        <w:tblW w:type="auto" w:w="0"/>
        <w:tblLayout w:type="fixed"/>
        <w:tblLook w:firstColumn="1" w:firstRow="1" w:lastColumn="0" w:lastRow="0" w:noHBand="0" w:noVBand="1" w:val="04A0"/>
      </w:tblPr>
      <w:tblGrid>
        <w:gridCol w:w="2880"/>
        <w:gridCol w:w="2088"/>
        <w:gridCol w:w="2088"/>
        <w:gridCol w:w="1440"/>
        <w:gridCol w:w="1440"/>
      </w:tblGrid>
      <w:tr>
        <w:trPr>
          <w:cantSplit/>
          <w:tblHeader/>
        </w:trPr>
        <w:tc>
          <w:tcPr>
            <w:tcW w:type="dxa" w:w="288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Category</w:t>
            </w:r>
          </w:p>
        </w:tc>
        <w:tc>
          <w:tcPr>
            <w:tcW w:type="dxa" w:w="208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Cost</w:t>
            </w:r>
          </w:p>
        </w:tc>
        <w:tc>
          <w:tcPr>
            <w:tcW w:type="dxa" w:w="208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Sale</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Cable (Cat6A, fiber, coax, composite)</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Jacks, plates, patch cords</w:t>
            </w:r>
          </w:p>
        </w:tc>
        <w:tc>
          <w:tcPr>
            <w:tcW w:type="dxa" w:w="208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8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Firestop, labels, misc hardware</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Pathway hardware (J-hook, velcro, tie wraps)</w:t>
            </w:r>
          </w:p>
        </w:tc>
        <w:tc>
          <w:tcPr>
            <w:tcW w:type="dxa" w:w="208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8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Subtotal Materials</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${{MATC}}</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${{MATS}}</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bl>
    <w:p>
      <w:pPr>
        <w:spacing w:after="120"/>
      </w:pPr>
    </w:p>
    <w:p>
      <w:pPr>
        <w:spacing w:after="120"/>
      </w:pPr>
      <w:r>
        <w:rPr>
          <w:rFonts w:ascii="Calibri" w:hAnsi="Calibri"/>
          <w:b w:val="0"/>
          <w:i w:val="0"/>
          <w:color w:val="455A64"/>
          <w:sz w:val="20"/>
        </w:rPr>
      </w:r>
    </w:p>
    <w:p>
      <w:pPr>
        <w:keepNext/>
        <w:spacing w:before="200" w:after="80"/>
      </w:pPr>
      <w:r>
        <w:rPr>
          <w:rFonts w:ascii="Calibri" w:hAnsi="Calibri"/>
          <w:b/>
          <w:color w:val="455A64"/>
          <w:sz w:val="22"/>
        </w:rPr>
        <w:t>Equipment (Master Catalog Sheet 1)</w:t>
      </w:r>
    </w:p>
    <w:tbl>
      <w:tblPr>
        <w:tblW w:type="auto" w:w="0"/>
        <w:tblLayout w:type="fixed"/>
        <w:tblLook w:firstColumn="1" w:firstRow="1" w:lastColumn="0" w:lastRow="0" w:noHBand="0" w:noVBand="1" w:val="04A0"/>
      </w:tblPr>
      <w:tblGrid>
        <w:gridCol w:w="2880"/>
        <w:gridCol w:w="2088"/>
        <w:gridCol w:w="2088"/>
        <w:gridCol w:w="1440"/>
        <w:gridCol w:w="1440"/>
      </w:tblGrid>
      <w:tr>
        <w:trPr>
          <w:cantSplit/>
          <w:tblHeader/>
        </w:trPr>
        <w:tc>
          <w:tcPr>
            <w:tcW w:type="dxa" w:w="288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Category</w:t>
            </w:r>
          </w:p>
        </w:tc>
        <w:tc>
          <w:tcPr>
            <w:tcW w:type="dxa" w:w="208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Cost</w:t>
            </w:r>
          </w:p>
        </w:tc>
        <w:tc>
          <w:tcPr>
            <w:tcW w:type="dxa" w:w="208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Sale</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Racks, PDUs, patch panels, housings</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Cameras, readers, intercom, NVRs</w:t>
            </w:r>
          </w:p>
        </w:tc>
        <w:tc>
          <w:tcPr>
            <w:tcW w:type="dxa" w:w="208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8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UniFi Managed Services hardware (if MS alt)</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Subtotal Equipment</w:t>
            </w:r>
          </w:p>
        </w:tc>
        <w:tc>
          <w:tcPr>
            <w:tcW w:type="dxa" w:w="2088"/>
            <w:tcBorders>
              <w:top w:val="single" w:sz="4" w:color="455A64"/>
              <w:left w:val="single" w:sz="4" w:color="455A64"/>
              <w:bottom w:val="single" w:sz="4" w:color="455A64"/>
              <w:right w:val="single" w:sz="4" w:color="455A64"/>
            </w:tcBorders>
            <w:vAlign w:val="center"/>
          </w:tcPr>
          <w:p>
            <w:r>
              <w:rPr>
                <w:rFonts w:ascii="Calibri" w:hAnsi="Calibri"/>
                <w:color w:val="455A64"/>
                <w:sz w:val="20"/>
              </w:rPr>
              <w:t>${{EQC}}</w:t>
            </w:r>
          </w:p>
        </w:tc>
        <w:tc>
          <w:tcPr>
            <w:tcW w:type="dxa" w:w="2088"/>
            <w:tcBorders>
              <w:top w:val="single" w:sz="4" w:color="455A64"/>
              <w:left w:val="single" w:sz="4" w:color="455A64"/>
              <w:bottom w:val="single" w:sz="4" w:color="455A64"/>
              <w:right w:val="single" w:sz="4" w:color="455A64"/>
            </w:tcBorders>
            <w:vAlign w:val="center"/>
          </w:tcPr>
          <w:p>
            <w:r>
              <w:rPr>
                <w:rFonts w:ascii="Calibri" w:hAnsi="Calibri"/>
                <w:color w:val="455A64"/>
                <w:sz w:val="20"/>
              </w:rPr>
              <w:t>${{EQ_SALE}}</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bl>
    <w:p>
      <w:pPr>
        <w:spacing w:after="120"/>
      </w:pPr>
    </w:p>
    <w:p>
      <w:pPr>
        <w:spacing w:after="120"/>
      </w:pPr>
      <w:r>
        <w:rPr>
          <w:rFonts w:ascii="Calibri" w:hAnsi="Calibri"/>
          <w:b w:val="0"/>
          <w:i w:val="0"/>
          <w:color w:val="455A64"/>
          <w:sz w:val="20"/>
        </w:rPr>
      </w:r>
    </w:p>
    <w:p>
      <w:pPr>
        <w:keepNext/>
        <w:spacing w:before="200" w:after="80"/>
      </w:pPr>
      <w:r>
        <w:rPr>
          <w:rFonts w:ascii="Calibri" w:hAnsi="Calibri"/>
          <w:b/>
          <w:color w:val="455A64"/>
          <w:sz w:val="22"/>
        </w:rPr>
        <w:t>Services / Labor (Master Catalog Sheet 3)</w:t>
      </w:r>
    </w:p>
    <w:p>
      <w:pPr>
        <w:spacing w:after="120"/>
      </w:pPr>
      <w:r>
        <w:rPr>
          <w:rFonts w:ascii="Calibri" w:hAnsi="Calibri"/>
          <w:b w:val="0"/>
          <w:i/>
          <w:color w:val="455A64"/>
          <w:sz w:val="18"/>
        </w:rPr>
        <w:t>Internal cost basis: $65/hr foreman · $40/hr laborer · $52.50/hr blended 2-crew default. Billed to GC at $100/hr flat — NEVER discloses composition on client docs.</w:t>
      </w:r>
    </w:p>
    <w:tbl>
      <w:tblPr>
        <w:tblW w:type="auto" w:w="0"/>
        <w:tblLayout w:type="fixed"/>
        <w:tblLook w:firstColumn="1" w:firstRow="1" w:lastColumn="0" w:lastRow="0" w:noHBand="0" w:noVBand="1" w:val="04A0"/>
      </w:tblPr>
      <w:tblGrid>
        <w:gridCol w:w="2592"/>
        <w:gridCol w:w="1008"/>
        <w:gridCol w:w="2016"/>
        <w:gridCol w:w="1584"/>
        <w:gridCol w:w="1584"/>
        <w:gridCol w:w="1152"/>
      </w:tblGrid>
      <w:tr>
        <w:trPr>
          <w:cantSplit/>
          <w:tblHeader/>
        </w:trPr>
        <w:tc>
          <w:tcPr>
            <w:tcW w:type="dxa" w:w="2592"/>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Scope</w:t>
            </w:r>
          </w:p>
        </w:tc>
        <w:tc>
          <w:tcPr>
            <w:tcW w:type="dxa" w:w="100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Hours</w:t>
            </w:r>
          </w:p>
        </w:tc>
        <w:tc>
          <w:tcPr>
            <w:tcW w:type="dxa" w:w="2016"/>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Cost Rate</w:t>
            </w:r>
          </w:p>
        </w:tc>
        <w:tc>
          <w:tcPr>
            <w:tcW w:type="dxa" w:w="1584"/>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Cost $</w:t>
            </w:r>
          </w:p>
        </w:tc>
        <w:tc>
          <w:tcPr>
            <w:tcW w:type="dxa" w:w="1584"/>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Billed $</w:t>
            </w:r>
          </w:p>
        </w:tc>
        <w:tc>
          <w:tcPr>
            <w:tcW w:type="dxa" w:w="1152"/>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w:t>
            </w:r>
          </w:p>
        </w:tc>
      </w:tr>
      <w:tr>
        <w:trPr>
          <w:cantSplit/>
        </w:trPr>
        <w:tc>
          <w:tcPr>
            <w:tcW w:type="dxa" w:w="2592"/>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Rough-in (P2)</w:t>
            </w:r>
          </w:p>
        </w:tc>
        <w:tc>
          <w:tcPr>
            <w:tcW w:type="dxa" w:w="100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1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$52.50</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152"/>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47.5%</w:t>
            </w:r>
          </w:p>
        </w:tc>
      </w:tr>
      <w:tr>
        <w:trPr>
          <w:cantSplit/>
        </w:trPr>
        <w:tc>
          <w:tcPr>
            <w:tcW w:type="dxa" w:w="2592"/>
            <w:tcBorders>
              <w:top w:val="single" w:sz="4" w:color="455A64"/>
              <w:left w:val="single" w:sz="4" w:color="455A64"/>
              <w:bottom w:val="single" w:sz="4" w:color="455A64"/>
              <w:right w:val="single" w:sz="4" w:color="455A64"/>
            </w:tcBorders>
            <w:vAlign w:val="center"/>
          </w:tcPr>
          <w:p>
            <w:r>
              <w:rPr>
                <w:rFonts w:ascii="Calibri" w:hAnsi="Calibri"/>
                <w:color w:val="455A64"/>
                <w:sz w:val="20"/>
              </w:rPr>
              <w:t>Cable pull (P3)</w:t>
            </w:r>
          </w:p>
        </w:tc>
        <w:tc>
          <w:tcPr>
            <w:tcW w:type="dxa" w:w="100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16"/>
            <w:tcBorders>
              <w:top w:val="single" w:sz="4" w:color="455A64"/>
              <w:left w:val="single" w:sz="4" w:color="455A64"/>
              <w:bottom w:val="single" w:sz="4" w:color="455A64"/>
              <w:right w:val="single" w:sz="4" w:color="455A64"/>
            </w:tcBorders>
            <w:vAlign w:val="center"/>
          </w:tcPr>
          <w:p>
            <w:r>
              <w:rPr>
                <w:rFonts w:ascii="Calibri" w:hAnsi="Calibri"/>
                <w:color w:val="455A64"/>
                <w:sz w:val="20"/>
              </w:rPr>
              <w:t>$48.33 (3-crew)</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152"/>
            <w:tcBorders>
              <w:top w:val="single" w:sz="4" w:color="455A64"/>
              <w:left w:val="single" w:sz="4" w:color="455A64"/>
              <w:bottom w:val="single" w:sz="4" w:color="455A64"/>
              <w:right w:val="single" w:sz="4" w:color="455A64"/>
            </w:tcBorders>
            <w:vAlign w:val="center"/>
          </w:tcPr>
          <w:p>
            <w:r>
              <w:rPr>
                <w:rFonts w:ascii="Calibri" w:hAnsi="Calibri"/>
                <w:color w:val="455A64"/>
                <w:sz w:val="20"/>
              </w:rPr>
              <w:t>51.7%</w:t>
            </w:r>
          </w:p>
        </w:tc>
      </w:tr>
      <w:tr>
        <w:trPr>
          <w:cantSplit/>
        </w:trPr>
        <w:tc>
          <w:tcPr>
            <w:tcW w:type="dxa" w:w="2592"/>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Terminate + test (P4)</w:t>
            </w:r>
          </w:p>
        </w:tc>
        <w:tc>
          <w:tcPr>
            <w:tcW w:type="dxa" w:w="100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1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$52.50</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152"/>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47.5%</w:t>
            </w:r>
          </w:p>
        </w:tc>
      </w:tr>
      <w:tr>
        <w:trPr>
          <w:cantSplit/>
        </w:trPr>
        <w:tc>
          <w:tcPr>
            <w:tcW w:type="dxa" w:w="2592"/>
            <w:tcBorders>
              <w:top w:val="single" w:sz="4" w:color="455A64"/>
              <w:left w:val="single" w:sz="4" w:color="455A64"/>
              <w:bottom w:val="single" w:sz="4" w:color="455A64"/>
              <w:right w:val="single" w:sz="4" w:color="455A64"/>
            </w:tcBorders>
            <w:vAlign w:val="center"/>
          </w:tcPr>
          <w:p>
            <w:r>
              <w:rPr>
                <w:rFonts w:ascii="Calibri" w:hAnsi="Calibri"/>
                <w:color w:val="455A64"/>
                <w:sz w:val="20"/>
              </w:rPr>
              <w:t>Punch + close (P5)</w:t>
            </w:r>
          </w:p>
        </w:tc>
        <w:tc>
          <w:tcPr>
            <w:tcW w:type="dxa" w:w="100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16"/>
            <w:tcBorders>
              <w:top w:val="single" w:sz="4" w:color="455A64"/>
              <w:left w:val="single" w:sz="4" w:color="455A64"/>
              <w:bottom w:val="single" w:sz="4" w:color="455A64"/>
              <w:right w:val="single" w:sz="4" w:color="455A64"/>
            </w:tcBorders>
            <w:vAlign w:val="center"/>
          </w:tcPr>
          <w:p>
            <w:r>
              <w:rPr>
                <w:rFonts w:ascii="Calibri" w:hAnsi="Calibri"/>
                <w:color w:val="455A64"/>
                <w:sz w:val="20"/>
              </w:rPr>
              <w:t>$52.50</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152"/>
            <w:tcBorders>
              <w:top w:val="single" w:sz="4" w:color="455A64"/>
              <w:left w:val="single" w:sz="4" w:color="455A64"/>
              <w:bottom w:val="single" w:sz="4" w:color="455A64"/>
              <w:right w:val="single" w:sz="4" w:color="455A64"/>
            </w:tcBorders>
            <w:vAlign w:val="center"/>
          </w:tcPr>
          <w:p>
            <w:r>
              <w:rPr>
                <w:rFonts w:ascii="Calibri" w:hAnsi="Calibri"/>
                <w:color w:val="455A64"/>
                <w:sz w:val="20"/>
              </w:rPr>
              <w:t>47.5%</w:t>
            </w:r>
          </w:p>
        </w:tc>
      </w:tr>
      <w:tr>
        <w:trPr>
          <w:cantSplit/>
        </w:trPr>
        <w:tc>
          <w:tcPr>
            <w:tcW w:type="dxa" w:w="2592"/>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Mobilization + MOBS</w:t>
            </w:r>
          </w:p>
        </w:tc>
        <w:tc>
          <w:tcPr>
            <w:tcW w:type="dxa" w:w="100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01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$52.50</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152"/>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47.5%</w:t>
            </w:r>
          </w:p>
        </w:tc>
      </w:tr>
      <w:tr>
        <w:trPr>
          <w:cantSplit/>
        </w:trPr>
        <w:tc>
          <w:tcPr>
            <w:tcW w:type="dxa" w:w="2592"/>
            <w:tcBorders>
              <w:top w:val="single" w:sz="4" w:color="455A64"/>
              <w:left w:val="single" w:sz="4" w:color="455A64"/>
              <w:bottom w:val="single" w:sz="4" w:color="455A64"/>
              <w:right w:val="single" w:sz="4" w:color="455A64"/>
            </w:tcBorders>
            <w:vAlign w:val="center"/>
          </w:tcPr>
          <w:p>
            <w:r>
              <w:rPr>
                <w:rFonts w:ascii="Calibri" w:hAnsi="Calibri"/>
                <w:color w:val="455A64"/>
                <w:sz w:val="20"/>
              </w:rPr>
              <w:t>Subtotal Labor</w:t>
            </w:r>
          </w:p>
        </w:tc>
        <w:tc>
          <w:tcPr>
            <w:tcW w:type="dxa" w:w="1008"/>
            <w:tcBorders>
              <w:top w:val="single" w:sz="4" w:color="455A64"/>
              <w:left w:val="single" w:sz="4" w:color="455A64"/>
              <w:bottom w:val="single" w:sz="4" w:color="455A64"/>
              <w:right w:val="single" w:sz="4" w:color="455A64"/>
            </w:tcBorders>
            <w:vAlign w:val="center"/>
          </w:tcPr>
          <w:p>
            <w:r>
              <w:rPr>
                <w:rFonts w:ascii="Calibri" w:hAnsi="Calibri"/>
                <w:color w:val="455A64"/>
                <w:sz w:val="20"/>
              </w:rPr>
              <w:t>{{LAB_HRS}}</w:t>
            </w:r>
          </w:p>
        </w:tc>
        <w:tc>
          <w:tcPr>
            <w:tcW w:type="dxa" w:w="2016"/>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${{LAB_COST}}</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${{LAB_SALE}}</w:t>
            </w:r>
          </w:p>
        </w:tc>
        <w:tc>
          <w:tcPr>
            <w:tcW w:type="dxa" w:w="1152"/>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bl>
    <w:p>
      <w:pPr>
        <w:spacing w:after="120"/>
      </w:pPr>
    </w:p>
    <w:p>
      <w:pPr>
        <w:keepNext/>
        <w:pageBreakBefore/>
        <w:spacing w:before="0" w:after="80"/>
      </w:pPr>
      <w:r>
        <w:rPr>
          <w:rFonts w:ascii="Calibri" w:hAnsi="Calibri"/>
          <w:b/>
          <w:color w:val="2E7D32"/>
          <w:sz w:val="32"/>
        </w:rPr>
        <w:t>3.  Margin Analysis</w:t>
      </w:r>
    </w:p>
    <w:p>
      <w:pPr>
        <w:keepNext/>
        <w:spacing w:before="0" w:after="200"/>
        <w:pBdr>
          <w:bottom w:val="single" w:sz="8" w:color="2E7D32"/>
        </w:pBdr>
      </w:pPr>
    </w:p>
    <w:tbl>
      <w:tblPr>
        <w:tblW w:type="auto" w:w="0"/>
        <w:tblLayout w:type="fixed"/>
        <w:tblLook w:firstColumn="1" w:firstRow="1" w:lastColumn="0" w:lastRow="0" w:noHBand="0" w:noVBand="1" w:val="04A0"/>
      </w:tblPr>
      <w:tblGrid>
        <w:gridCol w:w="2736"/>
        <w:gridCol w:w="1440"/>
        <w:gridCol w:w="1440"/>
        <w:gridCol w:w="1440"/>
        <w:gridCol w:w="1440"/>
        <w:gridCol w:w="1440"/>
      </w:tblGrid>
      <w:tr>
        <w:trPr>
          <w:cantSplit/>
          <w:tblHeader/>
        </w:trPr>
        <w:tc>
          <w:tcPr>
            <w:tcW w:type="dxa" w:w="2736"/>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Bucket</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Cost</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Sale</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vs Target</w:t>
            </w:r>
          </w:p>
        </w:tc>
      </w:tr>
      <w:tr>
        <w:trPr>
          <w:cantSplit/>
        </w:trPr>
        <w:tc>
          <w:tcPr>
            <w:tcW w:type="dxa" w:w="273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Materials</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736"/>
            <w:tcBorders>
              <w:top w:val="single" w:sz="4" w:color="455A64"/>
              <w:left w:val="single" w:sz="4" w:color="455A64"/>
              <w:bottom w:val="single" w:sz="4" w:color="455A64"/>
              <w:right w:val="single" w:sz="4" w:color="455A64"/>
            </w:tcBorders>
            <w:vAlign w:val="center"/>
          </w:tcPr>
          <w:p>
            <w:r>
              <w:rPr>
                <w:rFonts w:ascii="Calibri" w:hAnsi="Calibri"/>
                <w:color w:val="455A64"/>
                <w:sz w:val="20"/>
              </w:rPr>
              <w:t>Equipment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73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Labor / Services</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≥40% floor</w:t>
            </w:r>
          </w:p>
        </w:tc>
      </w:tr>
      <w:tr>
        <w:trPr>
          <w:cantSplit/>
        </w:trPr>
        <w:tc>
          <w:tcPr>
            <w:tcW w:type="dxa" w:w="2736"/>
            <w:tcBorders>
              <w:top w:val="single" w:sz="4" w:color="455A64"/>
              <w:left w:val="single" w:sz="4" w:color="455A64"/>
              <w:bottom w:val="single" w:sz="4" w:color="455A64"/>
              <w:right w:val="single" w:sz="4" w:color="455A64"/>
            </w:tcBorders>
            <w:vAlign w:val="center"/>
          </w:tcPr>
          <w:p>
            <w:r>
              <w:rPr>
                <w:rFonts w:ascii="Calibri" w:hAnsi="Calibri"/>
                <w:color w:val="455A64"/>
                <w:sz w:val="20"/>
              </w:rPr>
              <w:t>Soft Costs</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73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OVERALL</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${{TOTAL_COST}}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${{BASE_BID}}</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${{GROSS_PROFIT}}</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{{GROSS_MARGIN}}%</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28-35% target</w:t>
            </w:r>
          </w:p>
        </w:tc>
      </w:tr>
    </w:tbl>
    <w:p>
      <w:pPr>
        <w:spacing w:after="120"/>
      </w:pPr>
    </w:p>
    <w:p>
      <w:pPr>
        <w:spacing w:after="80"/>
      </w:pPr>
      <w:r>
        <w:rPr>
          <w:rFonts w:ascii="Calibri" w:hAnsi="Calibri"/>
          <w:b w:val="0"/>
          <w:i w:val="0"/>
          <w:color w:val="455A64"/>
          <w:sz w:val="20"/>
        </w:rPr>
      </w:r>
    </w:p>
    <w:p>
      <w:pPr>
        <w:spacing w:after="200"/>
      </w:pPr>
      <w:r>
        <w:rPr>
          <w:rFonts w:ascii="Calibri" w:hAnsi="Calibri"/>
          <w:b w:val="0"/>
          <w:i/>
          <w:color w:val="455A64"/>
          <w:sz w:val="18"/>
        </w:rPr>
        <w:t>Margin floor (internal only): labor ≥40% auto-achieved on any crew composition. Overall project target 28-35%. &lt;28% requires reconsider or walk. &gt;40% verify it's premium pricing, not a pricing error.</w:t>
      </w:r>
    </w:p>
    <w:p>
      <w:pPr>
        <w:keepNext/>
        <w:pageBreakBefore/>
        <w:spacing w:before="0" w:after="80"/>
      </w:pPr>
      <w:r>
        <w:rPr>
          <w:rFonts w:ascii="Calibri" w:hAnsi="Calibri"/>
          <w:b/>
          <w:color w:val="2E7D32"/>
          <w:sz w:val="32"/>
        </w:rPr>
        <w:t>4.  Scenario Analysis</w:t>
      </w:r>
    </w:p>
    <w:p>
      <w:pPr>
        <w:keepNext/>
        <w:spacing w:before="0" w:after="200"/>
        <w:pBdr>
          <w:bottom w:val="single" w:sz="8" w:color="2E7D32"/>
        </w:pBdr>
      </w:pPr>
    </w:p>
    <w:tbl>
      <w:tblPr>
        <w:tblW w:type="auto" w:w="0"/>
        <w:tblLayout w:type="fixed"/>
        <w:tblLook w:firstColumn="1" w:firstRow="1" w:lastColumn="0" w:lastRow="0" w:noHBand="0" w:noVBand="1" w:val="04A0"/>
      </w:tblPr>
      <w:tblGrid>
        <w:gridCol w:w="1728"/>
        <w:gridCol w:w="1440"/>
        <w:gridCol w:w="1440"/>
        <w:gridCol w:w="1584"/>
        <w:gridCol w:w="1296"/>
        <w:gridCol w:w="2448"/>
      </w:tblGrid>
      <w:tr>
        <w:trPr>
          <w:cantSplit/>
          <w:tblHeader/>
        </w:trPr>
        <w:tc>
          <w:tcPr>
            <w:tcW w:type="dxa" w:w="172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Scenario</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Base Bid</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Cost</w:t>
            </w:r>
          </w:p>
        </w:tc>
        <w:tc>
          <w:tcPr>
            <w:tcW w:type="dxa" w:w="1584"/>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Gross Profit</w:t>
            </w:r>
          </w:p>
        </w:tc>
        <w:tc>
          <w:tcPr>
            <w:tcW w:type="dxa" w:w="1296"/>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w:t>
            </w:r>
          </w:p>
        </w:tc>
        <w:tc>
          <w:tcPr>
            <w:tcW w:type="dxa" w:w="244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Assumptions</w:t>
            </w:r>
          </w:p>
        </w:tc>
      </w:tr>
      <w:tr>
        <w:trPr>
          <w:cantSplit/>
        </w:trPr>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Best case</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${{BASE_BID}}</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29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44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Fast crew · no rework · full buffer unused</w:t>
            </w:r>
          </w:p>
        </w:tc>
      </w:tr>
      <w:tr>
        <w:trPr>
          <w:cantSplit/>
        </w:trPr>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Expected</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${{BASE_BID}}</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${{TOTAL_COST}}</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${{GROSS_PROFIT}}</w:t>
            </w:r>
          </w:p>
        </w:tc>
        <w:tc>
          <w:tcPr>
            <w:tcW w:type="dxa" w:w="1296"/>
            <w:tcBorders>
              <w:top w:val="single" w:sz="4" w:color="455A64"/>
              <w:left w:val="single" w:sz="4" w:color="455A64"/>
              <w:bottom w:val="single" w:sz="4" w:color="455A64"/>
              <w:right w:val="single" w:sz="4" w:color="455A64"/>
            </w:tcBorders>
            <w:vAlign w:val="center"/>
          </w:tcPr>
          <w:p>
            <w:r>
              <w:rPr>
                <w:rFonts w:ascii="Calibri" w:hAnsi="Calibri"/>
                <w:color w:val="455A64"/>
                <w:sz w:val="20"/>
              </w:rPr>
              <w:t>{{GROSS_MARGIN}}%</w:t>
            </w:r>
          </w:p>
        </w:tc>
        <w:tc>
          <w:tcPr>
            <w:tcW w:type="dxa" w:w="2448"/>
            <w:tcBorders>
              <w:top w:val="single" w:sz="4" w:color="455A64"/>
              <w:left w:val="single" w:sz="4" w:color="455A64"/>
              <w:bottom w:val="single" w:sz="4" w:color="455A64"/>
              <w:right w:val="single" w:sz="4" w:color="455A64"/>
            </w:tcBorders>
            <w:vAlign w:val="center"/>
          </w:tcPr>
          <w:p>
            <w:r>
              <w:rPr>
                <w:rFonts w:ascii="Calibri" w:hAnsi="Calibri"/>
                <w:color w:val="455A64"/>
                <w:sz w:val="20"/>
              </w:rPr>
              <w:t>Labor Plan baseline · buffer used normally</w:t>
            </w:r>
          </w:p>
        </w:tc>
      </w:tr>
      <w:tr>
        <w:trPr>
          <w:cantSplit/>
        </w:trPr>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Worst case</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${{BASE_BID}}</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29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44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Full buffer burned · 1 CO denied · 2 week delay</w:t>
            </w:r>
          </w:p>
        </w:tc>
      </w:tr>
    </w:tbl>
    <w:p>
      <w:pPr>
        <w:spacing w:after="120"/>
      </w:pPr>
    </w:p>
    <w:p>
      <w:pPr>
        <w:spacing w:after="120"/>
      </w:pPr>
      <w:r>
        <w:rPr>
          <w:rFonts w:ascii="Calibri" w:hAnsi="Calibri"/>
          <w:b w:val="0"/>
          <w:i w:val="0"/>
          <w:color w:val="455A64"/>
          <w:sz w:val="20"/>
        </w:rPr>
      </w:r>
    </w:p>
    <w:p>
      <w:pPr>
        <w:keepNext/>
        <w:spacing w:before="200" w:after="80"/>
      </w:pPr>
      <w:r>
        <w:rPr>
          <w:rFonts w:ascii="Calibri" w:hAnsi="Calibri"/>
          <w:b/>
          <w:color w:val="455A64"/>
          <w:sz w:val="22"/>
        </w:rPr>
        <w:t>Sensitivity</w:t>
      </w:r>
    </w:p>
    <w:p>
      <w:pPr>
        <w:pStyle w:val="ListBullet"/>
        <w:spacing w:after="60"/>
      </w:pPr>
      <w:r>
        <w:rPr>
          <w:rFonts w:ascii="Calibri" w:hAnsi="Calibri"/>
          <w:b w:val="0"/>
          <w:color w:val="455A64"/>
          <w:sz w:val="20"/>
        </w:rPr>
        <w:t>±10% labor hours → ±{{}}% margin impact (largest driver).</w:t>
      </w:r>
    </w:p>
    <w:p>
      <w:pPr>
        <w:pStyle w:val="ListBullet"/>
        <w:spacing w:after="60"/>
      </w:pPr>
      <w:r>
        <w:rPr>
          <w:rFonts w:ascii="Calibri" w:hAnsi="Calibri"/>
          <w:b w:val="0"/>
          <w:color w:val="455A64"/>
          <w:sz w:val="20"/>
        </w:rPr>
        <w:t>±5% material cost → ±{{}}% margin impact.</w:t>
      </w:r>
    </w:p>
    <w:p>
      <w:pPr>
        <w:pStyle w:val="ListBullet"/>
        <w:spacing w:after="60"/>
      </w:pPr>
      <w:r>
        <w:rPr>
          <w:rFonts w:ascii="Calibri" w:hAnsi="Calibri"/>
          <w:b w:val="0"/>
          <w:color w:val="455A64"/>
          <w:sz w:val="20"/>
        </w:rPr>
        <w:t>1 change order mid-job → +{{}}% margin upside (material markup rolls through).</w:t>
      </w:r>
    </w:p>
    <w:p>
      <w:pPr>
        <w:keepNext/>
        <w:pageBreakBefore/>
        <w:spacing w:before="0" w:after="80"/>
      </w:pPr>
      <w:r>
        <w:rPr>
          <w:rFonts w:ascii="Calibri" w:hAnsi="Calibri"/>
          <w:b/>
          <w:color w:val="2E7D32"/>
          <w:sz w:val="32"/>
        </w:rPr>
        <w:t>5.  Crew Bonus Logic</w:t>
      </w:r>
    </w:p>
    <w:p>
      <w:pPr>
        <w:keepNext/>
        <w:spacing w:before="0" w:after="200"/>
        <w:pBdr>
          <w:bottom w:val="single" w:sz="8" w:color="2E7D32"/>
        </w:pBdr>
      </w:pPr>
    </w:p>
    <w:p>
      <w:pPr>
        <w:spacing w:after="120"/>
      </w:pPr>
      <w:r>
        <w:rPr>
          <w:rFonts w:ascii="Calibri" w:hAnsi="Calibri"/>
          <w:b w:val="0"/>
          <w:i w:val="0"/>
          <w:color w:val="455A64"/>
          <w:sz w:val="20"/>
        </w:rPr>
        <w:t>Crew bonus pool funded from margin above target. Paid on Substantial Completion (foreman approved, Kaitlyn approved, closeout delivered clean).</w:t>
      </w:r>
    </w:p>
    <w:tbl>
      <w:tblPr>
        <w:tblW w:type="auto" w:w="0"/>
        <w:tblLayout w:type="fixed"/>
        <w:tblLook w:firstColumn="1" w:firstRow="1" w:lastColumn="0" w:lastRow="0" w:noHBand="0" w:noVBand="1" w:val="04A0"/>
      </w:tblPr>
      <w:tblGrid>
        <w:gridCol w:w="2880"/>
        <w:gridCol w:w="2592"/>
        <w:gridCol w:w="2160"/>
        <w:gridCol w:w="2304"/>
      </w:tblGrid>
      <w:tr>
        <w:trPr>
          <w:cantSplit/>
          <w:tblHeader/>
        </w:trPr>
        <w:tc>
          <w:tcPr>
            <w:tcW w:type="dxa" w:w="288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Margin % Achieved</w:t>
            </w:r>
          </w:p>
        </w:tc>
        <w:tc>
          <w:tcPr>
            <w:tcW w:type="dxa" w:w="2592"/>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Bonus Pool</w:t>
            </w:r>
          </w:p>
        </w:tc>
        <w:tc>
          <w:tcPr>
            <w:tcW w:type="dxa" w:w="216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Per Foreman</w:t>
            </w:r>
          </w:p>
        </w:tc>
        <w:tc>
          <w:tcPr>
            <w:tcW w:type="dxa" w:w="2304"/>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Per Laborer</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&lt; 28% (below target)</w:t>
            </w:r>
          </w:p>
        </w:tc>
        <w:tc>
          <w:tcPr>
            <w:tcW w:type="dxa" w:w="2592"/>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$0</w:t>
            </w:r>
          </w:p>
        </w:tc>
        <w:tc>
          <w:tcPr>
            <w:tcW w:type="dxa" w:w="216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$0</w:t>
            </w:r>
          </w:p>
        </w:tc>
        <w:tc>
          <w:tcPr>
            <w:tcW w:type="dxa" w:w="230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$0</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28-32% (on target)</w:t>
            </w:r>
          </w:p>
        </w:tc>
        <w:tc>
          <w:tcPr>
            <w:tcW w:type="dxa" w:w="2592"/>
            <w:tcBorders>
              <w:top w:val="single" w:sz="4" w:color="455A64"/>
              <w:left w:val="single" w:sz="4" w:color="455A64"/>
              <w:bottom w:val="single" w:sz="4" w:color="455A64"/>
              <w:right w:val="single" w:sz="4" w:color="455A64"/>
            </w:tcBorders>
            <w:vAlign w:val="center"/>
          </w:tcPr>
          <w:p>
            <w:r>
              <w:rPr>
                <w:rFonts w:ascii="Calibri" w:hAnsi="Calibri"/>
                <w:color w:val="455A64"/>
                <w:sz w:val="20"/>
              </w:rPr>
              <w:t>{{1% of Base Bid}}</w:t>
            </w:r>
          </w:p>
        </w:tc>
        <w:tc>
          <w:tcPr>
            <w:tcW w:type="dxa" w:w="216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30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33-38% (above target)</w:t>
            </w:r>
          </w:p>
        </w:tc>
        <w:tc>
          <w:tcPr>
            <w:tcW w:type="dxa" w:w="2592"/>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{{2% of Base Bid}}</w:t>
            </w:r>
          </w:p>
        </w:tc>
        <w:tc>
          <w:tcPr>
            <w:tcW w:type="dxa" w:w="216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30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&gt; 38% (premium)</w:t>
            </w:r>
          </w:p>
        </w:tc>
        <w:tc>
          <w:tcPr>
            <w:tcW w:type="dxa" w:w="2592"/>
            <w:tcBorders>
              <w:top w:val="single" w:sz="4" w:color="455A64"/>
              <w:left w:val="single" w:sz="4" w:color="455A64"/>
              <w:bottom w:val="single" w:sz="4" w:color="455A64"/>
              <w:right w:val="single" w:sz="4" w:color="455A64"/>
            </w:tcBorders>
            <w:vAlign w:val="center"/>
          </w:tcPr>
          <w:p>
            <w:r>
              <w:rPr>
                <w:rFonts w:ascii="Calibri" w:hAnsi="Calibri"/>
                <w:color w:val="455A64"/>
                <w:sz w:val="20"/>
              </w:rPr>
              <w:t>{{3% of Base Bid}}</w:t>
            </w:r>
          </w:p>
        </w:tc>
        <w:tc>
          <w:tcPr>
            <w:tcW w:type="dxa" w:w="2160"/>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230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bl>
    <w:p>
      <w:pPr>
        <w:spacing w:after="120"/>
      </w:pPr>
    </w:p>
    <w:p>
      <w:pPr>
        <w:spacing w:after="80"/>
      </w:pPr>
      <w:r>
        <w:rPr>
          <w:rFonts w:ascii="Calibri" w:hAnsi="Calibri"/>
          <w:b w:val="0"/>
          <w:i w:val="0"/>
          <w:color w:val="455A64"/>
          <w:sz w:val="20"/>
        </w:rPr>
      </w:r>
    </w:p>
    <w:p>
      <w:pPr>
        <w:spacing w:after="200"/>
      </w:pPr>
      <w:r>
        <w:rPr>
          <w:rFonts w:ascii="Calibri" w:hAnsi="Calibri"/>
          <w:b w:val="0"/>
          <w:i/>
          <w:color w:val="455A64"/>
          <w:sz w:val="18"/>
        </w:rPr>
        <w:t>Bonus pool split: 60% foreman / 40% laborer on 2-crew; scales to crew size. Paid within 30 days of final pay app release. Carries no forward liability if job margin drops.</w:t>
      </w:r>
    </w:p>
    <w:p>
      <w:pPr>
        <w:keepNext/>
        <w:pageBreakBefore/>
        <w:spacing w:before="0" w:after="80"/>
      </w:pPr>
      <w:r>
        <w:rPr>
          <w:rFonts w:ascii="Calibri" w:hAnsi="Calibri"/>
          <w:b/>
          <w:color w:val="2E7D32"/>
          <w:sz w:val="32"/>
        </w:rPr>
        <w:t>6.  Reality Check vs Benchmarks</w:t>
      </w:r>
    </w:p>
    <w:p>
      <w:pPr>
        <w:keepNext/>
        <w:spacing w:before="0" w:after="200"/>
        <w:pBdr>
          <w:bottom w:val="single" w:sz="8" w:color="2E7D32"/>
        </w:pBdr>
      </w:pPr>
    </w:p>
    <w:tbl>
      <w:tblPr>
        <w:tblW w:type="auto" w:w="0"/>
        <w:tblLayout w:type="fixed"/>
        <w:tblLook w:firstColumn="1" w:firstRow="1" w:lastColumn="0" w:lastRow="0" w:noHBand="0" w:noVBand="1" w:val="04A0"/>
      </w:tblPr>
      <w:tblGrid>
        <w:gridCol w:w="2880"/>
        <w:gridCol w:w="1728"/>
        <w:gridCol w:w="3888"/>
        <w:gridCol w:w="1440"/>
      </w:tblGrid>
      <w:tr>
        <w:trPr>
          <w:cantSplit/>
          <w:tblHeader/>
        </w:trPr>
        <w:tc>
          <w:tcPr>
            <w:tcW w:type="dxa" w:w="288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Metric</w:t>
            </w:r>
          </w:p>
        </w:tc>
        <w:tc>
          <w:tcPr>
            <w:tcW w:type="dxa" w:w="172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This Bid</w:t>
            </w:r>
          </w:p>
        </w:tc>
        <w:tc>
          <w:tcPr>
            <w:tcW w:type="dxa" w:w="388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Benchmark Band</w:t>
            </w:r>
          </w:p>
        </w:tc>
        <w:tc>
          <w:tcPr>
            <w:tcW w:type="dxa" w:w="144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Status</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 / active drop (all-in)</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38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$175-$260 (Cat6A office/K-12/hotel)</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{{IN / OUT}}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 / key (if hotel)</w:t>
            </w:r>
          </w:p>
        </w:tc>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3888"/>
            <w:tcBorders>
              <w:top w:val="single" w:sz="4" w:color="455A64"/>
              <w:left w:val="single" w:sz="4" w:color="455A64"/>
              <w:bottom w:val="single" w:sz="4" w:color="455A64"/>
              <w:right w:val="single" w:sz="4" w:color="455A64"/>
            </w:tcBorders>
            <w:vAlign w:val="center"/>
          </w:tcPr>
          <w:p>
            <w:r>
              <w:rPr>
                <w:rFonts w:ascii="Calibri" w:hAnsi="Calibri"/>
                <w:color w:val="455A64"/>
                <w:sz w:val="20"/>
              </w:rPr>
              <w:t>$800-$1,200 (Marriott GPNS)</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{{IN / OUT / N/A}}</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Labor hrs / drop</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38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1.05 (BICSI conservative)</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{{IN / OUT}}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Overall margin %</w:t>
            </w:r>
          </w:p>
        </w:tc>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{{GROSS_MARGIN}}%</w:t>
            </w:r>
          </w:p>
        </w:tc>
        <w:tc>
          <w:tcPr>
            <w:tcW w:type="dxa" w:w="3888"/>
            <w:tcBorders>
              <w:top w:val="single" w:sz="4" w:color="455A64"/>
              <w:left w:val="single" w:sz="4" w:color="455A64"/>
              <w:bottom w:val="single" w:sz="4" w:color="455A64"/>
              <w:right w:val="single" w:sz="4" w:color="455A64"/>
            </w:tcBorders>
            <w:vAlign w:val="center"/>
          </w:tcPr>
          <w:p>
            <w:r>
              <w:rPr>
                <w:rFonts w:ascii="Calibri" w:hAnsi="Calibri"/>
                <w:color w:val="455A64"/>
                <w:sz w:val="20"/>
              </w:rPr>
              <w:t>28-35% target</w:t>
            </w:r>
          </w:p>
        </w:tc>
        <w:tc>
          <w:tcPr>
            <w:tcW w:type="dxa" w:w="1440"/>
            <w:tcBorders>
              <w:top w:val="single" w:sz="4" w:color="455A64"/>
              <w:left w:val="single" w:sz="4" w:color="455A64"/>
              <w:bottom w:val="single" w:sz="4" w:color="455A64"/>
              <w:right w:val="single" w:sz="4" w:color="455A64"/>
            </w:tcBorders>
            <w:vAlign w:val="center"/>
          </w:tcPr>
          <w:p>
            <w:r>
              <w:rPr>
                <w:rFonts w:ascii="Calibri" w:hAnsi="Calibri"/>
                <w:color w:val="455A64"/>
                <w:sz w:val="20"/>
              </w:rPr>
              <w:t>{{IN / OUT}}</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Labor-only margin %</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388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≥40% floor</w:t>
            </w:r>
          </w:p>
        </w:tc>
        <w:tc>
          <w:tcPr>
            <w:tcW w:type="dxa" w:w="144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{{IN / OUT}}</w:t>
            </w:r>
          </w:p>
        </w:tc>
      </w:tr>
    </w:tbl>
    <w:p>
      <w:pPr>
        <w:spacing w:after="120"/>
      </w:pPr>
    </w:p>
    <w:p>
      <w:pPr>
        <w:spacing w:after="80"/>
      </w:pPr>
      <w:r>
        <w:rPr>
          <w:rFonts w:ascii="Calibri" w:hAnsi="Calibri"/>
          <w:b w:val="0"/>
          <w:i w:val="0"/>
          <w:color w:val="455A64"/>
          <w:sz w:val="20"/>
        </w:rPr>
      </w:r>
    </w:p>
    <w:p>
      <w:pPr>
        <w:spacing w:after="200"/>
      </w:pPr>
      <w:r>
        <w:rPr>
          <w:rFonts w:ascii="Calibri" w:hAnsi="Calibri"/>
          <w:b w:val="0"/>
          <w:i/>
          <w:color w:val="455A64"/>
          <w:sz w:val="18"/>
        </w:rPr>
        <w:t>Sources: BICSI TDMM 14th Ed · NECA MLU 2021-22 · RSMeans 2024 Div 27 15 13 · Marriott GPNS v4.1 · MO AWO 32. Any metric OUT of band requires documented audit in `Internal/Processing/` before submission.</w:t>
      </w:r>
    </w:p>
    <w:p>
      <w:pPr>
        <w:keepNext/>
        <w:pageBreakBefore/>
        <w:spacing w:before="0" w:after="80"/>
      </w:pPr>
      <w:r>
        <w:rPr>
          <w:rFonts w:ascii="Calibri" w:hAnsi="Calibri"/>
          <w:b/>
          <w:color w:val="2E7D32"/>
          <w:sz w:val="32"/>
        </w:rPr>
        <w:t>7.  Cashflow Projection</w:t>
      </w:r>
    </w:p>
    <w:p>
      <w:pPr>
        <w:keepNext/>
        <w:spacing w:before="0" w:after="200"/>
        <w:pBdr>
          <w:bottom w:val="single" w:sz="8" w:color="2E7D32"/>
        </w:pBdr>
      </w:pPr>
    </w:p>
    <w:tbl>
      <w:tblPr>
        <w:tblW w:type="auto" w:w="0"/>
        <w:tblLayout w:type="fixed"/>
        <w:tblLook w:firstColumn="1" w:firstRow="1" w:lastColumn="0" w:lastRow="0" w:noHBand="0" w:noVBand="1" w:val="04A0"/>
      </w:tblPr>
      <w:tblGrid>
        <w:gridCol w:w="2880"/>
        <w:gridCol w:w="1008"/>
        <w:gridCol w:w="1296"/>
        <w:gridCol w:w="1728"/>
        <w:gridCol w:w="1584"/>
        <w:gridCol w:w="1728"/>
      </w:tblGrid>
      <w:tr>
        <w:trPr>
          <w:cantSplit/>
          <w:tblHeader/>
        </w:trPr>
        <w:tc>
          <w:tcPr>
            <w:tcW w:type="dxa" w:w="2880"/>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Phase</w:t>
            </w:r>
          </w:p>
        </w:tc>
        <w:tc>
          <w:tcPr>
            <w:tcW w:type="dxa" w:w="100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 Base Bid</w:t>
            </w:r>
          </w:p>
        </w:tc>
        <w:tc>
          <w:tcPr>
            <w:tcW w:type="dxa" w:w="1296"/>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Invoice $</w:t>
            </w:r>
          </w:p>
        </w:tc>
        <w:tc>
          <w:tcPr>
            <w:tcW w:type="dxa" w:w="172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Retention Held 10%</w:t>
            </w:r>
          </w:p>
        </w:tc>
        <w:tc>
          <w:tcPr>
            <w:tcW w:type="dxa" w:w="1584"/>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Net Pay (Net 30)</w:t>
            </w:r>
          </w:p>
        </w:tc>
        <w:tc>
          <w:tcPr>
            <w:tcW w:type="dxa" w:w="1728"/>
            <w:shd w:val="clear" w:color="auto" w:fill="2E7D32"/>
            <w:tcBorders>
              <w:top w:val="single" w:sz="4" w:color="455A64"/>
              <w:left w:val="single" w:sz="4" w:color="455A64"/>
              <w:bottom w:val="single" w:sz="4" w:color="455A64"/>
              <w:right w:val="single" w:sz="4" w:color="455A64"/>
            </w:tcBorders>
            <w:vAlign w:val="center"/>
          </w:tcPr>
          <w:p>
            <w:r>
              <w:rPr>
                <w:rFonts w:ascii="Calibri" w:hAnsi="Calibri"/>
                <w:b/>
                <w:color w:val="FFFFFF"/>
                <w:sz w:val="20"/>
              </w:rPr>
              <w:t>Cumulative Cash In</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P1 Mobilization</w:t>
            </w:r>
          </w:p>
        </w:tc>
        <w:tc>
          <w:tcPr>
            <w:tcW w:type="dxa" w:w="100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10%</w:t>
            </w:r>
          </w:p>
        </w:tc>
        <w:tc>
          <w:tcPr>
            <w:tcW w:type="dxa" w:w="129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P2 Rough-in</w:t>
            </w:r>
          </w:p>
        </w:tc>
        <w:tc>
          <w:tcPr>
            <w:tcW w:type="dxa" w:w="1008"/>
            <w:tcBorders>
              <w:top w:val="single" w:sz="4" w:color="455A64"/>
              <w:left w:val="single" w:sz="4" w:color="455A64"/>
              <w:bottom w:val="single" w:sz="4" w:color="455A64"/>
              <w:right w:val="single" w:sz="4" w:color="455A64"/>
            </w:tcBorders>
            <w:vAlign w:val="center"/>
          </w:tcPr>
          <w:p>
            <w:r>
              <w:rPr>
                <w:rFonts w:ascii="Calibri" w:hAnsi="Calibri"/>
                <w:color w:val="455A64"/>
                <w:sz w:val="20"/>
              </w:rPr>
              <w:t>30%</w:t>
            </w:r>
          </w:p>
        </w:tc>
        <w:tc>
          <w:tcPr>
            <w:tcW w:type="dxa" w:w="1296"/>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P3 Cable pull</w:t>
            </w:r>
          </w:p>
        </w:tc>
        <w:tc>
          <w:tcPr>
            <w:tcW w:type="dxa" w:w="100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30%</w:t>
            </w:r>
          </w:p>
        </w:tc>
        <w:tc>
          <w:tcPr>
            <w:tcW w:type="dxa" w:w="129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P4 Terminate / test</w:t>
            </w:r>
          </w:p>
        </w:tc>
        <w:tc>
          <w:tcPr>
            <w:tcW w:type="dxa" w:w="1008"/>
            <w:tcBorders>
              <w:top w:val="single" w:sz="4" w:color="455A64"/>
              <w:left w:val="single" w:sz="4" w:color="455A64"/>
              <w:bottom w:val="single" w:sz="4" w:color="455A64"/>
              <w:right w:val="single" w:sz="4" w:color="455A64"/>
            </w:tcBorders>
            <w:vAlign w:val="center"/>
          </w:tcPr>
          <w:p>
            <w:r>
              <w:rPr>
                <w:rFonts w:ascii="Calibri" w:hAnsi="Calibri"/>
                <w:color w:val="455A64"/>
                <w:sz w:val="20"/>
              </w:rPr>
              <w:t>20%</w:t>
            </w:r>
          </w:p>
        </w:tc>
        <w:tc>
          <w:tcPr>
            <w:tcW w:type="dxa" w:w="1296"/>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P5 Punch / close</w:t>
            </w:r>
          </w:p>
        </w:tc>
        <w:tc>
          <w:tcPr>
            <w:tcW w:type="dxa" w:w="100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10%</w:t>
            </w:r>
          </w:p>
        </w:tc>
        <w:tc>
          <w:tcPr>
            <w:tcW w:type="dxa" w:w="1296"/>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584"/>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shd w:val="clear" w:color="auto" w:fill="F1F8F1"/>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r>
        <w:trPr>
          <w:cantSplit/>
        </w:trPr>
        <w:tc>
          <w:tcPr>
            <w:tcW w:type="dxa" w:w="2880"/>
            <w:tcBorders>
              <w:top w:val="single" w:sz="4" w:color="455A64"/>
              <w:left w:val="single" w:sz="4" w:color="455A64"/>
              <w:bottom w:val="single" w:sz="4" w:color="455A64"/>
              <w:right w:val="single" w:sz="4" w:color="455A64"/>
            </w:tcBorders>
            <w:vAlign w:val="center"/>
          </w:tcPr>
          <w:p>
            <w:r>
              <w:rPr>
                <w:rFonts w:ascii="Calibri" w:hAnsi="Calibri"/>
                <w:color w:val="455A64"/>
                <w:sz w:val="20"/>
              </w:rPr>
              <w:t>Retention Release</w:t>
            </w:r>
          </w:p>
        </w:tc>
        <w:tc>
          <w:tcPr>
            <w:tcW w:type="dxa" w:w="100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296"/>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${{RETENTION_TOTAL}}</w:t>
            </w:r>
          </w:p>
        </w:tc>
        <w:tc>
          <w:tcPr>
            <w:tcW w:type="dxa" w:w="1584"/>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c>
          <w:tcPr>
            <w:tcW w:type="dxa" w:w="1728"/>
            <w:tcBorders>
              <w:top w:val="single" w:sz="4" w:color="455A64"/>
              <w:left w:val="single" w:sz="4" w:color="455A64"/>
              <w:bottom w:val="single" w:sz="4" w:color="455A64"/>
              <w:right w:val="single" w:sz="4" w:color="455A64"/>
            </w:tcBorders>
            <w:vAlign w:val="center"/>
          </w:tcPr>
          <w:p>
            <w:r>
              <w:rPr>
                <w:rFonts w:ascii="Calibri" w:hAnsi="Calibri"/>
                <w:color w:val="455A64"/>
                <w:sz w:val="20"/>
              </w:rPr>
              <w:t>${{}}</w:t>
            </w:r>
          </w:p>
        </w:tc>
      </w:tr>
    </w:tbl>
    <w:p>
      <w:pPr>
        <w:spacing w:after="120"/>
      </w:pPr>
    </w:p>
    <w:p>
      <w:pPr>
        <w:spacing w:after="120"/>
      </w:pPr>
      <w:r>
        <w:rPr>
          <w:rFonts w:ascii="Calibri" w:hAnsi="Calibri"/>
          <w:b w:val="0"/>
          <w:i w:val="0"/>
          <w:color w:val="455A64"/>
          <w:sz w:val="20"/>
        </w:rPr>
      </w:r>
    </w:p>
    <w:p>
      <w:pPr>
        <w:keepNext/>
        <w:pageBreakBefore/>
        <w:spacing w:before="0" w:after="80"/>
      </w:pPr>
      <w:r>
        <w:rPr>
          <w:rFonts w:ascii="Calibri" w:hAnsi="Calibri"/>
          <w:b/>
          <w:color w:val="2E7D32"/>
          <w:sz w:val="32"/>
        </w:rPr>
        <w:t>8.  Action Items &amp; Approvals</w:t>
      </w:r>
    </w:p>
    <w:p>
      <w:pPr>
        <w:keepNext/>
        <w:spacing w:before="0" w:after="200"/>
        <w:pBdr>
          <w:bottom w:val="single" w:sz="8" w:color="2E7D32"/>
        </w:pBdr>
      </w:pPr>
    </w:p>
    <w:p>
      <w:pPr>
        <w:pStyle w:val="ListBullet"/>
        <w:spacing w:after="60"/>
      </w:pPr>
      <w:r>
        <w:rPr>
          <w:rFonts w:ascii="Calibri" w:hAnsi="Calibri"/>
          <w:b w:val="0"/>
          <w:color w:val="455A64"/>
          <w:sz w:val="20"/>
        </w:rPr>
        <w:t>Kaitlyn review + sign-off before proposal packet merge.</w:t>
      </w:r>
    </w:p>
    <w:p>
      <w:pPr>
        <w:pStyle w:val="ListBullet"/>
        <w:spacing w:after="60"/>
      </w:pPr>
      <w:r>
        <w:rPr>
          <w:rFonts w:ascii="Calibri" w:hAnsi="Calibri"/>
          <w:b w:val="0"/>
          <w:color w:val="455A64"/>
          <w:sz w:val="20"/>
        </w:rPr>
        <w:t>Nathan crew loading sanity check against Labor Plan.</w:t>
      </w:r>
    </w:p>
    <w:p>
      <w:pPr>
        <w:pStyle w:val="ListBullet"/>
        <w:spacing w:after="60"/>
      </w:pPr>
      <w:r>
        <w:rPr>
          <w:rFonts w:ascii="Calibri" w:hAnsi="Calibri"/>
          <w:b w:val="0"/>
          <w:color w:val="455A64"/>
          <w:sz w:val="20"/>
        </w:rPr>
        <w:t>If margin &lt;28%: escalate to Kaitlyn for go/no-go.</w:t>
      </w:r>
    </w:p>
    <w:p>
      <w:pPr>
        <w:pStyle w:val="ListBullet"/>
        <w:spacing w:after="60"/>
      </w:pPr>
      <w:r>
        <w:rPr>
          <w:rFonts w:ascii="Calibri" w:hAnsi="Calibri"/>
          <w:b w:val="0"/>
          <w:color w:val="455A64"/>
          <w:sz w:val="20"/>
        </w:rPr>
        <w:t>If any reality-check metric OUT of band: document audit in `Internal/Processing/` and re-run before submission.</w:t>
      </w:r>
    </w:p>
    <w:sectPr w:rsidR="00FC693F" w:rsidRPr="0006063C" w:rsidSect="00034616">
      <w:headerReference w:type="default" r:id="rId9"/>
      <w:footerReference w:type="default" r:id="rId10"/>
      <w:pgSz w:w="12240" w:h="15840"/>
      <w:pgMar w:top="1152" w:right="1080" w:bottom="1152"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i/>
        <w:color w:val="C62828"/>
        <w:sz w:val="16"/>
      </w:rPr>
      <w:t xml:space="preserve">INTERNAL — CONFIDENTIAL · DO NOT SHARE WITH GC · </w:t>
    </w:r>
    <w:r>
      <w:rPr>
        <w:rFonts w:ascii="Calibri" w:hAnsi="Calibri"/>
        <w:i/>
        <w:color w:val="455A64"/>
        <w:sz w:val="16"/>
      </w:rPr>
      <w:t xml:space="preserve">Page </w:t>
    </w:r>
    <w:fldSimple w:instr="PAGE">
      <w:r>
        <w:rPr>
          <w:rFonts w:ascii="Calibri" w:hAnsi="Calibri"/>
          <w:sz w:val="16"/>
          <w:i/>
          <w:color w:val="455A64"/>
        </w:rPr>
        <w:t>#</w:t>
      </w:r>
    </w:fldSimple>
    <w:r>
      <w:rPr>
        <w:rFonts w:ascii="Calibri" w:hAnsi="Calibri"/>
        <w:i/>
        <w:color w:val="455A64"/>
        <w:sz w:val="16"/>
      </w:rPr>
      <w:t xml:space="preserve"> of </w:t>
    </w:r>
    <w:fldSimple w:instr="NUMPAGES">
      <w:r>
        <w:rPr>
          <w:rFonts w:ascii="Calibri" w:hAnsi="Calibri"/>
          <w:sz w:val="16"/>
          <w:i/>
          <w:color w:val="455A64"/>
        </w:rPr>
        <w:t>#</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440"/>
      <w:gridCol w:w="8496"/>
    </w:tblGrid>
    <w:tr>
      <w:tc>
        <w:tcPr>
          <w:tcW w:type="dxa" w:w="1440"/>
        </w:tcPr>
        <w:p>
          <w:pPr>
            <w:spacing w:before="0" w:after="0"/>
          </w:pPr>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gcc logo only.png"/>
                        <pic:cNvPicPr/>
                      </pic:nvPicPr>
                      <pic:blipFill>
                        <a:blip r:embed="rId1"/>
                        <a:stretch>
                          <a:fillRect/>
                        </a:stretch>
                      </pic:blipFill>
                      <pic:spPr>
                        <a:xfrm>
                          <a:off x="0" y="0"/>
                          <a:ext cx="457200" cy="457200"/>
                        </a:xfrm>
                        <a:prstGeom prst="rect"/>
                      </pic:spPr>
                    </pic:pic>
                  </a:graphicData>
                </a:graphic>
              </wp:inline>
            </w:drawing>
          </w:r>
        </w:p>
      </w:tc>
      <w:tc>
        <w:tcPr>
          <w:tcW w:type="dxa" w:w="8496"/>
        </w:tcPr>
        <w:p>
          <w:pPr>
            <w:spacing w:before="0" w:after="0"/>
            <w:jc w:val="right"/>
          </w:pPr>
          <w:r>
            <w:rPr>
              <w:rFonts w:ascii="Calibri" w:hAnsi="Calibri"/>
              <w:b/>
              <w:color w:val="2E7D32"/>
              <w:sz w:val="22"/>
            </w:rPr>
            <w:t>Finance Summary</w:t>
          </w:r>
        </w:p>
        <w:p>
          <w:pPr>
            <w:spacing w:before="0" w:after="0"/>
            <w:jc w:val="right"/>
          </w:pPr>
          <w:r>
            <w:rPr>
              <w:rFonts w:ascii="Calibri" w:hAnsi="Calibri"/>
              <w:b/>
              <w:i/>
              <w:color w:val="C62828"/>
              <w:sz w:val="16"/>
            </w:rPr>
            <w:t>INTERNAL — DO NOT SHARE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Summary — {{JOB NAME}}</dc:title>
  <dc:subject>INTERNAL — Margin analysis, scenario forecast, crew bonus logic</dc:subject>
  <dc:creator>GCC Estimating Department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