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i w:val="0"/>
          <w:color w:val="2E7D32"/>
          <w:sz w:val="44"/>
        </w:rPr>
        <w:t>PROJECT SCHEDULE</w:t>
      </w:r>
    </w:p>
    <w:p>
      <w:pPr>
        <w:spacing w:after="80"/>
        <w:jc w:val="center"/>
      </w:pPr>
      <w:r>
        <w:rPr>
          <w:rFonts w:ascii="Calibri" w:hAnsi="Calibri"/>
          <w:b w:val="0"/>
          <w:i/>
          <w:color w:val="455A64"/>
          <w:sz w:val="22"/>
        </w:rPr>
        <w:t>{{JOB NAME}} — {{GC NAME}} — {{SITE CITY, STATE}}</w:t>
      </w:r>
    </w:p>
    <w:p>
      <w:pPr>
        <w:pBdr>
          <w:bottom w:val="single" w:sz="12" w:color="2E7D32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936"/>
            <w:shd w:val="clear" w:color="auto" w:fill="FBEEEE"/>
            <w:tcBorders>
              <w:top w:val="single" w:sz="8" w:color="C62828"/>
              <w:left w:val="single" w:sz="8" w:color="C62828"/>
              <w:bottom w:val="single" w:sz="8" w:color="C62828"/>
              <w:right w:val="single" w:sz="8" w:color="C62828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C62828"/>
                <w:sz w:val="24"/>
              </w:rPr>
              <w:t>INTERNAL DOCUMENT — GCC EYES ONLY</w:t>
            </w:r>
          </w:p>
          <w:p>
            <w:pPr>
              <w:spacing w:before="0" w:after="120"/>
              <w:jc w:val="center"/>
            </w:pPr>
            <w:r>
              <w:rPr>
                <w:rFonts w:ascii="Calibri" w:hAnsi="Calibri"/>
                <w:i/>
                <w:color w:val="C62828"/>
                <w:sz w:val="18"/>
              </w:rPr>
              <w:t>Contains internal cost rates, margin analysis, and strategy. Never attach to a proposal, quote, or email to a GC, Owner, or Subcontractor.</w:t>
            </w:r>
          </w:p>
        </w:tc>
      </w:tr>
    </w:tbl>
    <w:p>
      <w:pPr>
        <w:spacing w:after="200"/>
      </w:pPr>
    </w:p>
    <w:p>
      <w:pPr>
        <w:keepNext/>
        <w:spacing w:after="40"/>
      </w:pPr>
      <w:r>
        <w:rPr>
          <w:rFonts w:ascii="Calibri" w:hAnsi="Calibri"/>
          <w:b/>
          <w:i w:val="0"/>
          <w:color w:val="2E7D32"/>
          <w:sz w:val="22"/>
        </w:rPr>
        <w:t>SCHEDULE SNAPSHOT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6336"/>
      </w:tblGrid>
      <w:tr>
        <w:trPr>
          <w:cantSplit/>
          <w:tblHeader/>
        </w:trPr>
        <w:tc>
          <w:tcPr>
            <w:tcW w:type="dxa" w:w="3600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6336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rPr>
          <w:cantSplit/>
        </w:trPr>
        <w:tc>
          <w:tcPr>
            <w:tcW w:type="dxa" w:w="360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NTP / Mobilization Date</w:t>
            </w:r>
          </w:p>
        </w:tc>
        <w:tc>
          <w:tcPr>
            <w:tcW w:type="dxa" w:w="6336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{{}}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Substantial Completion Target</w:t>
            </w:r>
          </w:p>
        </w:tc>
        <w:tc>
          <w:tcPr>
            <w:tcW w:type="dxa" w:w="6336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{{}}</w:t>
            </w:r>
          </w:p>
        </w:tc>
      </w:tr>
      <w:tr>
        <w:trPr>
          <w:cantSplit/>
        </w:trPr>
        <w:tc>
          <w:tcPr>
            <w:tcW w:type="dxa" w:w="360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Duration (calendar weeks)</w:t>
            </w:r>
          </w:p>
        </w:tc>
        <w:tc>
          <w:tcPr>
            <w:tcW w:type="dxa" w:w="6336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{{}}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Duration (working weeks)</w:t>
            </w:r>
          </w:p>
        </w:tc>
        <w:tc>
          <w:tcPr>
            <w:tcW w:type="dxa" w:w="6336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{{}}</w:t>
            </w:r>
          </w:p>
        </w:tc>
      </w:tr>
      <w:tr>
        <w:trPr>
          <w:cantSplit/>
        </w:trPr>
        <w:tc>
          <w:tcPr>
            <w:tcW w:type="dxa" w:w="360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Crew Size Peak</w:t>
            </w:r>
          </w:p>
        </w:tc>
        <w:tc>
          <w:tcPr>
            <w:tcW w:type="dxa" w:w="6336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{{}} personnel (1 F + {{}} L)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Crew Size Average</w:t>
            </w:r>
          </w:p>
        </w:tc>
        <w:tc>
          <w:tcPr>
            <w:tcW w:type="dxa" w:w="6336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{{}} personnel</w:t>
            </w:r>
          </w:p>
        </w:tc>
      </w:tr>
      <w:tr>
        <w:trPr>
          <w:cantSplit/>
        </w:trPr>
        <w:tc>
          <w:tcPr>
            <w:tcW w:type="dxa" w:w="360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Work Hours (baseline)</w:t>
            </w:r>
          </w:p>
        </w:tc>
        <w:tc>
          <w:tcPr>
            <w:tcW w:type="dxa" w:w="6336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M-F, 7:00 AM - 3:30 PM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Holidays / Blackouts</w:t>
            </w:r>
          </w:p>
        </w:tc>
        <w:tc>
          <w:tcPr>
            <w:tcW w:type="dxa" w:w="6336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{{list}}</w:t>
            </w:r>
          </w:p>
        </w:tc>
      </w:tr>
      <w:tr>
        <w:trPr>
          <w:cantSplit/>
        </w:trPr>
        <w:tc>
          <w:tcPr>
            <w:tcW w:type="dxa" w:w="360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Shift Modes</w:t>
            </w:r>
          </w:p>
        </w:tc>
        <w:tc>
          <w:tcPr>
            <w:tcW w:type="dxa" w:w="6336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Standard only (after-hours DEDUCT available if surplus capacity)</w:t>
            </w:r>
          </w:p>
        </w:tc>
      </w:tr>
    </w:tbl>
    <w:p>
      <w:pPr>
        <w:spacing w:after="120"/>
      </w:pPr>
    </w:p>
    <w:p>
      <w:pPr>
        <w:keepNext/>
        <w:pageBreakBefore/>
        <w:spacing w:before="0" w:after="80"/>
      </w:pPr>
      <w:r>
        <w:rPr>
          <w:rFonts w:ascii="Calibri" w:hAnsi="Calibri"/>
          <w:b/>
          <w:color w:val="2E7D32"/>
          <w:sz w:val="32"/>
        </w:rPr>
        <w:t>1.  Phase Milestones</w:t>
      </w:r>
    </w:p>
    <w:p>
      <w:pPr>
        <w:keepNext/>
        <w:spacing w:before="0" w:after="200"/>
        <w:pBdr>
          <w:bottom w:val="single" w:sz="8" w:color="2E7D32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76"/>
        <w:gridCol w:w="4320"/>
        <w:gridCol w:w="1008"/>
        <w:gridCol w:w="1008"/>
        <w:gridCol w:w="1584"/>
        <w:gridCol w:w="1440"/>
      </w:tblGrid>
      <w:tr>
        <w:trPr>
          <w:cantSplit/>
          <w:tblHeader/>
        </w:trPr>
        <w:tc>
          <w:tcPr>
            <w:tcW w:type="dxa" w:w="576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4320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1008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Start</w:t>
            </w:r>
          </w:p>
        </w:tc>
        <w:tc>
          <w:tcPr>
            <w:tcW w:type="dxa" w:w="1008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Finish</w:t>
            </w:r>
          </w:p>
        </w:tc>
        <w:tc>
          <w:tcPr>
            <w:tcW w:type="dxa" w:w="1584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1440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% of Base Bid</w:t>
            </w:r>
          </w:p>
        </w:tc>
      </w:tr>
      <w:tr>
        <w:trPr>
          <w:cantSplit/>
        </w:trPr>
        <w:tc>
          <w:tcPr>
            <w:tcW w:type="dxa" w:w="576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P1</w:t>
            </w:r>
          </w:p>
        </w:tc>
        <w:tc>
          <w:tcPr>
            <w:tcW w:type="dxa" w:w="432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Mobilization &amp; submittals</w:t>
            </w:r>
          </w:p>
        </w:tc>
        <w:tc>
          <w:tcPr>
            <w:tcW w:type="dxa" w:w="1008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{{}}</w:t>
            </w:r>
          </w:p>
        </w:tc>
        <w:tc>
          <w:tcPr>
            <w:tcW w:type="dxa" w:w="1008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{{}}</w:t>
            </w:r>
          </w:p>
        </w:tc>
        <w:tc>
          <w:tcPr>
            <w:tcW w:type="dxa" w:w="1584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{{days}}</w:t>
            </w:r>
          </w:p>
        </w:tc>
        <w:tc>
          <w:tcPr>
            <w:tcW w:type="dxa" w:w="144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10%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P2</w:t>
            </w:r>
          </w:p>
        </w:tc>
        <w:tc>
          <w:tcPr>
            <w:tcW w:type="dxa" w:w="4320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Rough-in (pathway, boxes, backboxes)</w:t>
            </w:r>
          </w:p>
        </w:tc>
        <w:tc>
          <w:tcPr>
            <w:tcW w:type="dxa" w:w="1008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{{}}</w:t>
            </w:r>
          </w:p>
        </w:tc>
        <w:tc>
          <w:tcPr>
            <w:tcW w:type="dxa" w:w="1008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{{}}</w:t>
            </w:r>
          </w:p>
        </w:tc>
        <w:tc>
          <w:tcPr>
            <w:tcW w:type="dxa" w:w="1584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{{days}}</w:t>
            </w:r>
          </w:p>
        </w:tc>
        <w:tc>
          <w:tcPr>
            <w:tcW w:type="dxa" w:w="1440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30%</w:t>
            </w:r>
          </w:p>
        </w:tc>
      </w:tr>
      <w:tr>
        <w:trPr>
          <w:cantSplit/>
        </w:trPr>
        <w:tc>
          <w:tcPr>
            <w:tcW w:type="dxa" w:w="576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P3</w:t>
            </w:r>
          </w:p>
        </w:tc>
        <w:tc>
          <w:tcPr>
            <w:tcW w:type="dxa" w:w="432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Cable pull &amp; rack equipment</w:t>
            </w:r>
          </w:p>
        </w:tc>
        <w:tc>
          <w:tcPr>
            <w:tcW w:type="dxa" w:w="1008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{{}}</w:t>
            </w:r>
          </w:p>
        </w:tc>
        <w:tc>
          <w:tcPr>
            <w:tcW w:type="dxa" w:w="1008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{{}}</w:t>
            </w:r>
          </w:p>
        </w:tc>
        <w:tc>
          <w:tcPr>
            <w:tcW w:type="dxa" w:w="1584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{{days}}</w:t>
            </w:r>
          </w:p>
        </w:tc>
        <w:tc>
          <w:tcPr>
            <w:tcW w:type="dxa" w:w="144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30%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P4</w:t>
            </w:r>
          </w:p>
        </w:tc>
        <w:tc>
          <w:tcPr>
            <w:tcW w:type="dxa" w:w="4320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Terminations, dressing, labels, testing</w:t>
            </w:r>
          </w:p>
        </w:tc>
        <w:tc>
          <w:tcPr>
            <w:tcW w:type="dxa" w:w="1008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{{}}</w:t>
            </w:r>
          </w:p>
        </w:tc>
        <w:tc>
          <w:tcPr>
            <w:tcW w:type="dxa" w:w="1008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{{}}</w:t>
            </w:r>
          </w:p>
        </w:tc>
        <w:tc>
          <w:tcPr>
            <w:tcW w:type="dxa" w:w="1584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{{days}}</w:t>
            </w:r>
          </w:p>
        </w:tc>
        <w:tc>
          <w:tcPr>
            <w:tcW w:type="dxa" w:w="1440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20%</w:t>
            </w:r>
          </w:p>
        </w:tc>
      </w:tr>
      <w:tr>
        <w:trPr>
          <w:cantSplit/>
        </w:trPr>
        <w:tc>
          <w:tcPr>
            <w:tcW w:type="dxa" w:w="576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P5</w:t>
            </w:r>
          </w:p>
        </w:tc>
        <w:tc>
          <w:tcPr>
            <w:tcW w:type="dxa" w:w="432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Punch, as-builts, closeout, warranty registration</w:t>
            </w:r>
          </w:p>
        </w:tc>
        <w:tc>
          <w:tcPr>
            <w:tcW w:type="dxa" w:w="1008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{{}}</w:t>
            </w:r>
          </w:p>
        </w:tc>
        <w:tc>
          <w:tcPr>
            <w:tcW w:type="dxa" w:w="1008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{{}}</w:t>
            </w:r>
          </w:p>
        </w:tc>
        <w:tc>
          <w:tcPr>
            <w:tcW w:type="dxa" w:w="1584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{{days}}</w:t>
            </w:r>
          </w:p>
        </w:tc>
        <w:tc>
          <w:tcPr>
            <w:tcW w:type="dxa" w:w="144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10%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Calibri" w:hAnsi="Calibri"/>
          <w:b w:val="0"/>
          <w:i w:val="0"/>
          <w:color w:val="455A64"/>
          <w:sz w:val="20"/>
        </w:rPr>
      </w:r>
    </w:p>
    <w:p>
      <w:pPr>
        <w:spacing w:after="200"/>
      </w:pPr>
      <w:r>
        <w:rPr>
          <w:rFonts w:ascii="Calibri" w:hAnsi="Calibri"/>
          <w:b w:val="0"/>
          <w:i/>
          <w:color w:val="455A64"/>
          <w:sz w:val="18"/>
        </w:rPr>
        <w:t>Phase percentages align with Bid Proposal §6 Milestones (10/30/30/20/10). Pay application triggers on phase substantial completion.</w:t>
      </w:r>
    </w:p>
    <w:p>
      <w:pPr>
        <w:keepNext/>
        <w:pageBreakBefore/>
        <w:spacing w:before="0" w:after="80"/>
      </w:pPr>
      <w:r>
        <w:rPr>
          <w:rFonts w:ascii="Calibri" w:hAnsi="Calibri"/>
          <w:b/>
          <w:color w:val="2E7D32"/>
          <w:sz w:val="32"/>
        </w:rPr>
        <w:t>2.  Gantt — Week-by-Week</w:t>
      </w:r>
    </w:p>
    <w:p>
      <w:pPr>
        <w:keepNext/>
        <w:spacing w:before="0" w:after="200"/>
        <w:pBdr>
          <w:bottom w:val="single" w:sz="8" w:color="2E7D32"/>
        </w:pBdr>
      </w:pPr>
    </w:p>
    <w:p>
      <w:pPr>
        <w:spacing w:after="120"/>
      </w:pPr>
      <w:r>
        <w:rPr>
          <w:rFonts w:ascii="Calibri" w:hAnsi="Calibri"/>
          <w:b w:val="0"/>
          <w:i/>
          <w:color w:val="455A64"/>
          <w:sz w:val="18"/>
        </w:rPr>
        <w:t>Gantt grid populated per job. Template shows structure only. Each '█' = active week; '▒' = partial/ramp week.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36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cantSplit/>
          <w:tblHeader/>
        </w:trPr>
        <w:tc>
          <w:tcPr>
            <w:tcW w:type="dxa" w:w="2736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720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W1</w:t>
            </w:r>
          </w:p>
        </w:tc>
        <w:tc>
          <w:tcPr>
            <w:tcW w:type="dxa" w:w="720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W2</w:t>
            </w:r>
          </w:p>
        </w:tc>
        <w:tc>
          <w:tcPr>
            <w:tcW w:type="dxa" w:w="720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W3</w:t>
            </w:r>
          </w:p>
        </w:tc>
        <w:tc>
          <w:tcPr>
            <w:tcW w:type="dxa" w:w="720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W4</w:t>
            </w:r>
          </w:p>
        </w:tc>
        <w:tc>
          <w:tcPr>
            <w:tcW w:type="dxa" w:w="720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W5</w:t>
            </w:r>
          </w:p>
        </w:tc>
        <w:tc>
          <w:tcPr>
            <w:tcW w:type="dxa" w:w="720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W6</w:t>
            </w:r>
          </w:p>
        </w:tc>
        <w:tc>
          <w:tcPr>
            <w:tcW w:type="dxa" w:w="720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W7</w:t>
            </w:r>
          </w:p>
        </w:tc>
        <w:tc>
          <w:tcPr>
            <w:tcW w:type="dxa" w:w="720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W8</w:t>
            </w:r>
          </w:p>
        </w:tc>
        <w:tc>
          <w:tcPr>
            <w:tcW w:type="dxa" w:w="720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W9</w:t>
            </w:r>
          </w:p>
        </w:tc>
        <w:tc>
          <w:tcPr>
            <w:tcW w:type="dxa" w:w="720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W10</w:t>
            </w:r>
          </w:p>
        </w:tc>
      </w:tr>
      <w:tr>
        <w:trPr>
          <w:cantSplit/>
        </w:trPr>
        <w:tc>
          <w:tcPr>
            <w:tcW w:type="dxa" w:w="2736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P1 Mobilize</w:t>
            </w:r>
          </w:p>
        </w:tc>
        <w:tc>
          <w:tcPr>
            <w:tcW w:type="dxa" w:w="72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█</w:t>
            </w:r>
          </w:p>
        </w:tc>
        <w:tc>
          <w:tcPr>
            <w:tcW w:type="dxa" w:w="72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·</w:t>
            </w:r>
          </w:p>
        </w:tc>
        <w:tc>
          <w:tcPr>
            <w:tcW w:type="dxa" w:w="72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·</w:t>
            </w:r>
          </w:p>
        </w:tc>
        <w:tc>
          <w:tcPr>
            <w:tcW w:type="dxa" w:w="72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·</w:t>
            </w:r>
          </w:p>
        </w:tc>
        <w:tc>
          <w:tcPr>
            <w:tcW w:type="dxa" w:w="72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·</w:t>
            </w:r>
          </w:p>
        </w:tc>
        <w:tc>
          <w:tcPr>
            <w:tcW w:type="dxa" w:w="72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·</w:t>
            </w:r>
          </w:p>
        </w:tc>
        <w:tc>
          <w:tcPr>
            <w:tcW w:type="dxa" w:w="72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·</w:t>
            </w:r>
          </w:p>
        </w:tc>
        <w:tc>
          <w:tcPr>
            <w:tcW w:type="dxa" w:w="72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·</w:t>
            </w:r>
          </w:p>
        </w:tc>
        <w:tc>
          <w:tcPr>
            <w:tcW w:type="dxa" w:w="72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·</w:t>
            </w:r>
          </w:p>
        </w:tc>
        <w:tc>
          <w:tcPr>
            <w:tcW w:type="dxa" w:w="72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·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P2 Rough-in</w:t>
            </w:r>
          </w:p>
        </w:tc>
        <w:tc>
          <w:tcPr>
            <w:tcW w:type="dxa" w:w="720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·</w:t>
            </w:r>
          </w:p>
        </w:tc>
        <w:tc>
          <w:tcPr>
            <w:tcW w:type="dxa" w:w="720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█</w:t>
            </w:r>
          </w:p>
        </w:tc>
        <w:tc>
          <w:tcPr>
            <w:tcW w:type="dxa" w:w="720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█</w:t>
            </w:r>
          </w:p>
        </w:tc>
        <w:tc>
          <w:tcPr>
            <w:tcW w:type="dxa" w:w="720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█</w:t>
            </w:r>
          </w:p>
        </w:tc>
        <w:tc>
          <w:tcPr>
            <w:tcW w:type="dxa" w:w="720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·</w:t>
            </w:r>
          </w:p>
        </w:tc>
        <w:tc>
          <w:tcPr>
            <w:tcW w:type="dxa" w:w="720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·</w:t>
            </w:r>
          </w:p>
        </w:tc>
        <w:tc>
          <w:tcPr>
            <w:tcW w:type="dxa" w:w="720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·</w:t>
            </w:r>
          </w:p>
        </w:tc>
        <w:tc>
          <w:tcPr>
            <w:tcW w:type="dxa" w:w="720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·</w:t>
            </w:r>
          </w:p>
        </w:tc>
        <w:tc>
          <w:tcPr>
            <w:tcW w:type="dxa" w:w="720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·</w:t>
            </w:r>
          </w:p>
        </w:tc>
        <w:tc>
          <w:tcPr>
            <w:tcW w:type="dxa" w:w="720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·</w:t>
            </w:r>
          </w:p>
        </w:tc>
      </w:tr>
      <w:tr>
        <w:trPr>
          <w:cantSplit/>
        </w:trPr>
        <w:tc>
          <w:tcPr>
            <w:tcW w:type="dxa" w:w="2736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P3 Cable pull</w:t>
            </w:r>
          </w:p>
        </w:tc>
        <w:tc>
          <w:tcPr>
            <w:tcW w:type="dxa" w:w="72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·</w:t>
            </w:r>
          </w:p>
        </w:tc>
        <w:tc>
          <w:tcPr>
            <w:tcW w:type="dxa" w:w="72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·</w:t>
            </w:r>
          </w:p>
        </w:tc>
        <w:tc>
          <w:tcPr>
            <w:tcW w:type="dxa" w:w="72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·</w:t>
            </w:r>
          </w:p>
        </w:tc>
        <w:tc>
          <w:tcPr>
            <w:tcW w:type="dxa" w:w="72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█</w:t>
            </w:r>
          </w:p>
        </w:tc>
        <w:tc>
          <w:tcPr>
            <w:tcW w:type="dxa" w:w="72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█</w:t>
            </w:r>
          </w:p>
        </w:tc>
        <w:tc>
          <w:tcPr>
            <w:tcW w:type="dxa" w:w="72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█</w:t>
            </w:r>
          </w:p>
        </w:tc>
        <w:tc>
          <w:tcPr>
            <w:tcW w:type="dxa" w:w="72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·</w:t>
            </w:r>
          </w:p>
        </w:tc>
        <w:tc>
          <w:tcPr>
            <w:tcW w:type="dxa" w:w="72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·</w:t>
            </w:r>
          </w:p>
        </w:tc>
        <w:tc>
          <w:tcPr>
            <w:tcW w:type="dxa" w:w="72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·</w:t>
            </w:r>
          </w:p>
        </w:tc>
        <w:tc>
          <w:tcPr>
            <w:tcW w:type="dxa" w:w="72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·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P4 Terminate / test</w:t>
            </w:r>
          </w:p>
        </w:tc>
        <w:tc>
          <w:tcPr>
            <w:tcW w:type="dxa" w:w="720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·</w:t>
            </w:r>
          </w:p>
        </w:tc>
        <w:tc>
          <w:tcPr>
            <w:tcW w:type="dxa" w:w="720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·</w:t>
            </w:r>
          </w:p>
        </w:tc>
        <w:tc>
          <w:tcPr>
            <w:tcW w:type="dxa" w:w="720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·</w:t>
            </w:r>
          </w:p>
        </w:tc>
        <w:tc>
          <w:tcPr>
            <w:tcW w:type="dxa" w:w="720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·</w:t>
            </w:r>
          </w:p>
        </w:tc>
        <w:tc>
          <w:tcPr>
            <w:tcW w:type="dxa" w:w="720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·</w:t>
            </w:r>
          </w:p>
        </w:tc>
        <w:tc>
          <w:tcPr>
            <w:tcW w:type="dxa" w:w="720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█</w:t>
            </w:r>
          </w:p>
        </w:tc>
        <w:tc>
          <w:tcPr>
            <w:tcW w:type="dxa" w:w="720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█</w:t>
            </w:r>
          </w:p>
        </w:tc>
        <w:tc>
          <w:tcPr>
            <w:tcW w:type="dxa" w:w="720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█</w:t>
            </w:r>
          </w:p>
        </w:tc>
        <w:tc>
          <w:tcPr>
            <w:tcW w:type="dxa" w:w="720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·</w:t>
            </w:r>
          </w:p>
        </w:tc>
        <w:tc>
          <w:tcPr>
            <w:tcW w:type="dxa" w:w="720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·</w:t>
            </w:r>
          </w:p>
        </w:tc>
      </w:tr>
      <w:tr>
        <w:trPr>
          <w:cantSplit/>
        </w:trPr>
        <w:tc>
          <w:tcPr>
            <w:tcW w:type="dxa" w:w="2736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P5 Punch / close</w:t>
            </w:r>
          </w:p>
        </w:tc>
        <w:tc>
          <w:tcPr>
            <w:tcW w:type="dxa" w:w="72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·</w:t>
            </w:r>
          </w:p>
        </w:tc>
        <w:tc>
          <w:tcPr>
            <w:tcW w:type="dxa" w:w="72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·</w:t>
            </w:r>
          </w:p>
        </w:tc>
        <w:tc>
          <w:tcPr>
            <w:tcW w:type="dxa" w:w="72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·</w:t>
            </w:r>
          </w:p>
        </w:tc>
        <w:tc>
          <w:tcPr>
            <w:tcW w:type="dxa" w:w="72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·</w:t>
            </w:r>
          </w:p>
        </w:tc>
        <w:tc>
          <w:tcPr>
            <w:tcW w:type="dxa" w:w="72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·</w:t>
            </w:r>
          </w:p>
        </w:tc>
        <w:tc>
          <w:tcPr>
            <w:tcW w:type="dxa" w:w="72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·</w:t>
            </w:r>
          </w:p>
        </w:tc>
        <w:tc>
          <w:tcPr>
            <w:tcW w:type="dxa" w:w="72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·</w:t>
            </w:r>
          </w:p>
        </w:tc>
        <w:tc>
          <w:tcPr>
            <w:tcW w:type="dxa" w:w="72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·</w:t>
            </w:r>
          </w:p>
        </w:tc>
        <w:tc>
          <w:tcPr>
            <w:tcW w:type="dxa" w:w="72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█</w:t>
            </w:r>
          </w:p>
        </w:tc>
        <w:tc>
          <w:tcPr>
            <w:tcW w:type="dxa" w:w="72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█</w:t>
            </w:r>
          </w:p>
        </w:tc>
      </w:tr>
    </w:tbl>
    <w:p>
      <w:pPr>
        <w:spacing w:after="120"/>
      </w:pPr>
    </w:p>
    <w:p>
      <w:pPr>
        <w:keepNext/>
        <w:pageBreakBefore/>
        <w:spacing w:before="0" w:after="80"/>
      </w:pPr>
      <w:r>
        <w:rPr>
          <w:rFonts w:ascii="Calibri" w:hAnsi="Calibri"/>
          <w:b/>
          <w:color w:val="2E7D32"/>
          <w:sz w:val="32"/>
        </w:rPr>
        <w:t>3.  Crew Loading</w:t>
      </w:r>
    </w:p>
    <w:p>
      <w:pPr>
        <w:keepNext/>
        <w:spacing w:before="0" w:after="200"/>
        <w:pBdr>
          <w:bottom w:val="single" w:sz="8" w:color="2E7D32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1872"/>
        <w:gridCol w:w="2016"/>
        <w:gridCol w:w="1584"/>
        <w:gridCol w:w="1584"/>
      </w:tblGrid>
      <w:tr>
        <w:trPr>
          <w:cantSplit/>
          <w:tblHeader/>
        </w:trPr>
        <w:tc>
          <w:tcPr>
            <w:tcW w:type="dxa" w:w="2880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1872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Duration (weeks)</w:t>
            </w:r>
          </w:p>
        </w:tc>
        <w:tc>
          <w:tcPr>
            <w:tcW w:type="dxa" w:w="2016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Crew</w:t>
            </w:r>
          </w:p>
        </w:tc>
        <w:tc>
          <w:tcPr>
            <w:tcW w:type="dxa" w:w="1584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Hours / Week</w:t>
            </w:r>
          </w:p>
        </w:tc>
        <w:tc>
          <w:tcPr>
            <w:tcW w:type="dxa" w:w="1584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Total Hours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P1 Mobilization</w:t>
            </w:r>
          </w:p>
        </w:tc>
        <w:tc>
          <w:tcPr>
            <w:tcW w:type="dxa" w:w="1872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{{}}</w:t>
            </w:r>
          </w:p>
        </w:tc>
        <w:tc>
          <w:tcPr>
            <w:tcW w:type="dxa" w:w="2016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1 F + 1 L</w:t>
            </w:r>
          </w:p>
        </w:tc>
        <w:tc>
          <w:tcPr>
            <w:tcW w:type="dxa" w:w="1584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80</w:t>
            </w:r>
          </w:p>
        </w:tc>
        <w:tc>
          <w:tcPr>
            <w:tcW w:type="dxa" w:w="1584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{{}}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P2 Rough-in</w:t>
            </w:r>
          </w:p>
        </w:tc>
        <w:tc>
          <w:tcPr>
            <w:tcW w:type="dxa" w:w="187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{{}}</w:t>
            </w:r>
          </w:p>
        </w:tc>
        <w:tc>
          <w:tcPr>
            <w:tcW w:type="dxa" w:w="2016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1 F + 2 L</w:t>
            </w:r>
          </w:p>
        </w:tc>
        <w:tc>
          <w:tcPr>
            <w:tcW w:type="dxa" w:w="1584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120</w:t>
            </w:r>
          </w:p>
        </w:tc>
        <w:tc>
          <w:tcPr>
            <w:tcW w:type="dxa" w:w="1584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{{}}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P3 Cable pull</w:t>
            </w:r>
          </w:p>
        </w:tc>
        <w:tc>
          <w:tcPr>
            <w:tcW w:type="dxa" w:w="1872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{{}}</w:t>
            </w:r>
          </w:p>
        </w:tc>
        <w:tc>
          <w:tcPr>
            <w:tcW w:type="dxa" w:w="2016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1 F + 3 L</w:t>
            </w:r>
          </w:p>
        </w:tc>
        <w:tc>
          <w:tcPr>
            <w:tcW w:type="dxa" w:w="1584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160</w:t>
            </w:r>
          </w:p>
        </w:tc>
        <w:tc>
          <w:tcPr>
            <w:tcW w:type="dxa" w:w="1584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{{}}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P4 Terminate / test</w:t>
            </w:r>
          </w:p>
        </w:tc>
        <w:tc>
          <w:tcPr>
            <w:tcW w:type="dxa" w:w="187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{{}}</w:t>
            </w:r>
          </w:p>
        </w:tc>
        <w:tc>
          <w:tcPr>
            <w:tcW w:type="dxa" w:w="2016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1 F + 2 L</w:t>
            </w:r>
          </w:p>
        </w:tc>
        <w:tc>
          <w:tcPr>
            <w:tcW w:type="dxa" w:w="1584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120</w:t>
            </w:r>
          </w:p>
        </w:tc>
        <w:tc>
          <w:tcPr>
            <w:tcW w:type="dxa" w:w="1584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{{}}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P5 Punch / close</w:t>
            </w:r>
          </w:p>
        </w:tc>
        <w:tc>
          <w:tcPr>
            <w:tcW w:type="dxa" w:w="1872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{{}}</w:t>
            </w:r>
          </w:p>
        </w:tc>
        <w:tc>
          <w:tcPr>
            <w:tcW w:type="dxa" w:w="2016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1 F + 1 L</w:t>
            </w:r>
          </w:p>
        </w:tc>
        <w:tc>
          <w:tcPr>
            <w:tcW w:type="dxa" w:w="1584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80</w:t>
            </w:r>
          </w:p>
        </w:tc>
        <w:tc>
          <w:tcPr>
            <w:tcW w:type="dxa" w:w="1584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{{}}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MOBS (ongoing)</w:t>
            </w:r>
          </w:p>
        </w:tc>
        <w:tc>
          <w:tcPr>
            <w:tcW w:type="dxa" w:w="187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{{}}</w:t>
            </w:r>
          </w:p>
        </w:tc>
        <w:tc>
          <w:tcPr>
            <w:tcW w:type="dxa" w:w="2016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1 F only</w:t>
            </w:r>
          </w:p>
        </w:tc>
        <w:tc>
          <w:tcPr>
            <w:tcW w:type="dxa" w:w="1584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4/wk</w:t>
            </w:r>
          </w:p>
        </w:tc>
        <w:tc>
          <w:tcPr>
            <w:tcW w:type="dxa" w:w="1584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{{}}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TOTAL</w:t>
            </w:r>
          </w:p>
        </w:tc>
        <w:tc>
          <w:tcPr>
            <w:tcW w:type="dxa" w:w="1872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{{}}</w:t>
            </w:r>
          </w:p>
        </w:tc>
        <w:tc>
          <w:tcPr>
            <w:tcW w:type="dxa" w:w="2016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—</w:t>
            </w:r>
          </w:p>
        </w:tc>
        <w:tc>
          <w:tcPr>
            <w:tcW w:type="dxa" w:w="1584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—</w:t>
            </w:r>
          </w:p>
        </w:tc>
        <w:tc>
          <w:tcPr>
            <w:tcW w:type="dxa" w:w="1584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{{}}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Calibri" w:hAnsi="Calibri"/>
          <w:b w:val="0"/>
          <w:i w:val="0"/>
          <w:color w:val="455A64"/>
          <w:sz w:val="20"/>
        </w:rPr>
      </w:r>
    </w:p>
    <w:p>
      <w:pPr>
        <w:spacing w:after="200"/>
      </w:pPr>
      <w:r>
        <w:rPr>
          <w:rFonts w:ascii="Calibri" w:hAnsi="Calibri"/>
          <w:b w:val="0"/>
          <w:i/>
          <w:color w:val="455A64"/>
          <w:sz w:val="18"/>
        </w:rPr>
        <w:t>Minimum on-site = 2 personnel at all times (safety baseline). Foreman ratio max 1:3. Blended cost rate: 2-crew = $52.50/hr; 3-crew = $48.33/hr; 4-crew = $46.25/hr. Billed rate = $100/hr flat regardless of composition.</w:t>
      </w:r>
    </w:p>
    <w:p>
      <w:pPr>
        <w:keepNext/>
        <w:pageBreakBefore/>
        <w:spacing w:before="0" w:after="80"/>
      </w:pPr>
      <w:r>
        <w:rPr>
          <w:rFonts w:ascii="Calibri" w:hAnsi="Calibri"/>
          <w:b/>
          <w:color w:val="2E7D32"/>
          <w:sz w:val="32"/>
        </w:rPr>
        <w:t>4.  Dependencies &amp; Assumptions</w:t>
      </w:r>
    </w:p>
    <w:p>
      <w:pPr>
        <w:keepNext/>
        <w:spacing w:before="0" w:after="200"/>
        <w:pBdr>
          <w:bottom w:val="single" w:sz="8" w:color="2E7D32"/>
        </w:pBdr>
      </w:pPr>
    </w:p>
    <w:p>
      <w:pPr>
        <w:keepNext/>
        <w:spacing w:before="200" w:after="80"/>
      </w:pPr>
      <w:r>
        <w:rPr>
          <w:rFonts w:ascii="Calibri" w:hAnsi="Calibri"/>
          <w:b/>
          <w:color w:val="455A64"/>
          <w:sz w:val="22"/>
        </w:rPr>
        <w:t>Predecessor Dependencies (by others)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Pathway (EMT, cable tray, J-hook) installed by Electrical Contractor before GCC cable pull (P3). See Bid Proposal §7.A.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Ceiling grid + above-ceiling pathway access complete before P3.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MDF / IDF rooms climate-controlled + locked before P3 rack install.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Power whips to all racks energized before P4 terminations (NVR, switches, APs).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Building permits + low-voltage permit in-place — GCC does not pull (Bid Proposal §7.J).</w:t>
      </w:r>
    </w:p>
    <w:p>
      <w:pPr>
        <w:keepNext/>
        <w:spacing w:before="200" w:after="80"/>
      </w:pPr>
      <w:r>
        <w:rPr>
          <w:rFonts w:ascii="Calibri" w:hAnsi="Calibri"/>
          <w:b/>
          <w:color w:val="455A64"/>
          <w:sz w:val="22"/>
        </w:rPr>
        <w:t>Working Assumptions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Single-shift daytime work unless GC requests DEDUCT alt for labor-surplus weekend/after-hours.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No stacked trades in same work area during cable pull phase.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GCC has parking + material staging within 200 ft of MDF / loading dock.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Elevator use: freight elevator available during working hours; standard passenger elevator off-hours only.</w:t>
      </w:r>
    </w:p>
    <w:p>
      <w:pPr>
        <w:keepNext/>
        <w:spacing w:before="200" w:after="80"/>
      </w:pPr>
      <w:r>
        <w:rPr>
          <w:rFonts w:ascii="Calibri" w:hAnsi="Calibri"/>
          <w:b/>
          <w:color w:val="455A64"/>
          <w:sz w:val="22"/>
        </w:rPr>
        <w:t>Schedule Modifications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If NTP delayed by &gt;10 business days from current base date, GCC re-evaluates resource availability and may issue mobilization Change Order.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Weather blackout on outdoor work — GCC not responsible for delay.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Holidays observed (not worked): New Year's Day, Memorial Day, July 4, Labor Day, Thanksgiving + day after, Christmas Eve + Day.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080" w:bottom="1152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b/>
        <w:i/>
        <w:color w:val="C62828"/>
        <w:sz w:val="16"/>
      </w:rPr>
      <w:t xml:space="preserve">INTERNAL — CONFIDENTIAL · DO NOT SHARE WITH GC · </w:t>
    </w:r>
    <w:r>
      <w:rPr>
        <w:rFonts w:ascii="Calibri" w:hAnsi="Calibri"/>
        <w:i/>
        <w:color w:val="455A64"/>
        <w:sz w:val="16"/>
      </w:rPr>
      <w:t xml:space="preserve">Page </w:t>
    </w:r>
    <w:fldSimple w:instr="PAGE">
      <w:r>
        <w:rPr>
          <w:rFonts w:ascii="Calibri" w:hAnsi="Calibri"/>
          <w:sz w:val="16"/>
          <w:i/>
          <w:color w:val="455A64"/>
        </w:rPr>
        <w:t>#</w:t>
      </w:r>
    </w:fldSimple>
    <w:r>
      <w:rPr>
        <w:rFonts w:ascii="Calibri" w:hAnsi="Calibri"/>
        <w:i/>
        <w:color w:val="455A64"/>
        <w:sz w:val="16"/>
      </w:rPr>
      <w:t xml:space="preserve"> of </w:t>
    </w:r>
    <w:fldSimple w:instr="NUMPAGES">
      <w:r>
        <w:rPr>
          <w:rFonts w:ascii="Calibri" w:hAnsi="Calibri"/>
          <w:sz w:val="16"/>
          <w:i/>
          <w:color w:val="455A64"/>
        </w:rPr>
        <w:t>#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440"/>
      <w:gridCol w:w="8496"/>
    </w:tblGrid>
    <w:tr>
      <w:tc>
        <w:tcPr>
          <w:tcW w:type="dxa" w:w="1440"/>
        </w:tcPr>
        <w:p>
          <w:pPr>
            <w:spacing w:before="0" w:after="0"/>
          </w:pPr>
          <w:r>
            <w:drawing>
              <wp:inline xmlns:a="http://schemas.openxmlformats.org/drawingml/2006/main" xmlns:pic="http://schemas.openxmlformats.org/drawingml/2006/picture">
                <wp:extent cx="457200" cy="457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gcc logo only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457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496"/>
        </w:tcPr>
        <w:p>
          <w:pPr>
            <w:spacing w:before="0" w:after="0"/>
            <w:jc w:val="right"/>
          </w:pPr>
          <w:r>
            <w:rPr>
              <w:rFonts w:ascii="Calibri" w:hAnsi="Calibri"/>
              <w:b/>
              <w:color w:val="2E7D32"/>
              <w:sz w:val="22"/>
            </w:rPr>
            <w:t>Project Schedule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b/>
              <w:i/>
              <w:color w:val="C62828"/>
              <w:sz w:val="16"/>
            </w:rPr>
            <w:t>INTERNAL — DO NOT SHARE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Schedule — {{JOB NAME}}</dc:title>
  <dc:subject>INTERNAL — Gantt, crew loading, phase milestones</dc:subject>
  <dc:creator>GCC LLC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