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spacing w:after="360"/>
      </w:pPr>
      <w:r>
        <w:rPr>
          <w:rFonts w:ascii="Calibri" w:hAnsi="Calibri"/>
          <w:b w:val="0"/>
          <w:i w:val="0"/>
          <w:color w:val="455A64"/>
          <w:sz w:val="20"/>
        </w:rPr>
        <w:t>{{BID_DATE}}</w:t>
      </w:r>
    </w:p>
    <w:p>
      <w:pPr>
        <w:spacing w:after="40"/>
      </w:pPr>
      <w:r>
        <w:rPr>
          <w:rFonts w:ascii="Calibri" w:hAnsi="Calibri"/>
          <w:b w:val="0"/>
          <w:i w:val="0"/>
          <w:color w:val="455A64"/>
          <w:sz w:val="20"/>
        </w:rPr>
        <w:t>{{GC_CONTACT_NAME}}</w:t>
      </w:r>
    </w:p>
    <w:p>
      <w:pPr>
        <w:spacing w:after="40"/>
      </w:pPr>
      <w:r>
        <w:rPr>
          <w:rFonts w:ascii="Calibri" w:hAnsi="Calibri"/>
          <w:b w:val="0"/>
          <w:i w:val="0"/>
          <w:color w:val="455A64"/>
          <w:sz w:val="20"/>
        </w:rPr>
        <w:t>{{GC_COMPANY_NAME}}</w:t>
      </w:r>
    </w:p>
    <w:p>
      <w:pPr>
        <w:spacing w:after="40"/>
      </w:pPr>
      <w:r>
        <w:rPr>
          <w:rFonts w:ascii="Calibri" w:hAnsi="Calibri"/>
          <w:b w:val="0"/>
          <w:i w:val="0"/>
          <w:color w:val="455A64"/>
          <w:sz w:val="20"/>
        </w:rPr>
        <w:t>{{GC_STREET}}</w:t>
      </w:r>
    </w:p>
    <w:p>
      <w:pPr>
        <w:spacing w:after="360"/>
      </w:pPr>
      <w:r>
        <w:rPr>
          <w:rFonts w:ascii="Calibri" w:hAnsi="Calibri"/>
          <w:b w:val="0"/>
          <w:i w:val="0"/>
          <w:color w:val="455A64"/>
          <w:sz w:val="20"/>
        </w:rPr>
        <w:t>{{GC_CITY_STATE_ZIP}}</w:t>
      </w:r>
    </w:p>
    <w:p>
      <w:pPr>
        <w:keepNext/>
        <w:spacing w:after="280"/>
      </w:pPr>
      <w:r>
        <w:rPr>
          <w:rFonts w:ascii="Calibri" w:hAnsi="Calibri"/>
          <w:b/>
          <w:color w:val="2E7D32"/>
          <w:sz w:val="22"/>
        </w:rPr>
        <w:t>RE:  Division 27/28 Low-Voltage — {{SITE_NAME}}, {{CITY_STATE}} — Base Bid Proposal</w:t>
      </w:r>
    </w:p>
    <w:p>
      <w:pPr>
        <w:spacing w:after="200"/>
      </w:pPr>
      <w:r>
        <w:rPr>
          <w:rFonts w:ascii="Calibri" w:hAnsi="Calibri"/>
          <w:b w:val="0"/>
          <w:i w:val="0"/>
          <w:color w:val="455A64"/>
          <w:sz w:val="20"/>
        </w:rPr>
        <w:t>Dear {{GC_CONTACT_FIRST_NAME}},</w:t>
      </w:r>
    </w:p>
    <w:p>
      <w:pPr>
        <w:spacing w:after="240"/>
      </w:pPr>
      <w:r>
        <w:rPr>
          <w:rFonts w:ascii="Calibri" w:hAnsi="Calibri"/>
          <w:b w:val="0"/>
          <w:i w:val="0"/>
          <w:color w:val="455A64"/>
          <w:sz w:val="20"/>
        </w:rPr>
        <w:t>Please find enclosed the Proposal Packet for {{SITE_NAME}}, our formal Division 27/28 Low-Voltage subcontract response to your request. GCC has reviewed the full bid documents you issued — drawings, specifications, {{ADDENDA_COUNT}} addenda, and the invitation — and has priced the work as drawn.</w:t>
      </w:r>
    </w:p>
    <w:p>
      <w:pPr>
        <w:spacing w:after="240"/>
      </w:pPr>
      <w:r>
        <w:rPr>
          <w:rFonts w:ascii="Calibri" w:hAnsi="Calibri"/>
          <w:b w:val="0"/>
          <w:i w:val="0"/>
          <w:color w:val="455A64"/>
          <w:sz w:val="20"/>
        </w:rPr>
        <w:t>Our Base Bid is ${{BASE_BID}}, firm-fixed and valid for 30 days from the date above. Pricing is structured as three buckets — Materials, Labor, and Services — with the detailed Schedule of Values embedded as Section 2 of the enclosed Bid Proposal.</w:t>
      </w:r>
    </w:p>
    <w:p>
      <w:pPr>
        <w:keepNext/>
        <w:spacing w:after="120"/>
      </w:pPr>
      <w:r>
        <w:rPr>
          <w:rFonts w:ascii="Calibri" w:hAnsi="Calibri"/>
          <w:b w:val="0"/>
          <w:i w:val="0"/>
          <w:color w:val="455A64"/>
          <w:sz w:val="20"/>
        </w:rPr>
        <w:t>Three things set GCC apart on this project: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Lifetime workmanship warranty on every cable we install — transfers with the property.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100% on-time delivery record — we hit every substantial completion date we sign.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Fluke DSX-8000 certification on every drop, with LinkWare PDF reports delivered at closeout.</w:t>
      </w:r>
    </w:p>
    <w:p>
      <w:pPr>
        <w:spacing w:after="80"/>
      </w:pPr>
      <w:r>
        <w:rPr>
          <w:rFonts w:ascii="Calibri" w:hAnsi="Calibri"/>
          <w:b w:val="0"/>
          <w:i w:val="0"/>
          <w:color w:val="455A64"/>
          <w:sz w:val="20"/>
        </w:rPr>
      </w:r>
    </w:p>
    <w:p>
      <w:pPr>
        <w:spacing w:after="200"/>
      </w:pPr>
      <w:r>
        <w:rPr>
          <w:rFonts w:ascii="Calibri" w:hAnsi="Calibri"/>
          <w:b w:val="0"/>
          <w:i/>
          <w:color w:val="455A64"/>
          <w:sz w:val="20"/>
        </w:rPr>
        <w:t>Included as standard on every GCC bid: Cat6A plenum on all data drops at no upcharge, even when the base spec calls for Cat6. Cat6 substitute for Cat6A is never offered.</w:t>
      </w:r>
    </w:p>
    <w:p>
      <w:pPr>
        <w:spacing w:after="120"/>
      </w:pPr>
    </w:p>
    <w:p>
      <w:pPr>
        <w:spacing w:after="240"/>
      </w:pPr>
      <w:r>
        <w:rPr>
          <w:rFonts w:ascii="Calibri" w:hAnsi="Calibri"/>
          <w:b w:val="0"/>
          <w:i w:val="0"/>
          <w:color w:val="455A64"/>
          <w:sz w:val="20"/>
        </w:rPr>
        <w:t>Addenda acknowledged and priced: {{ADDENDA_LIST}}. Any addenda received after bid lock are not priced in this proposal.</w:t>
      </w:r>
    </w:p>
    <w:p>
      <w:pPr>
        <w:spacing w:after="440"/>
      </w:pPr>
      <w:r>
        <w:rPr>
          <w:rFonts w:ascii="Calibri" w:hAnsi="Calibri"/>
          <w:b w:val="0"/>
          <w:i w:val="0"/>
          <w:color w:val="455A64"/>
          <w:sz w:val="20"/>
        </w:rPr>
        <w:t>GCC can mobilize as early as {{MOBILIZE_DATE}} and is available this week to walk through the Schedule of Values, alternate scenarios, or any clarification you or the owner need. Call or email direct — contact block below.</w:t>
      </w:r>
    </w:p>
    <w:p>
      <w:pPr>
        <w:spacing w:after="120"/>
      </w:pPr>
      <w:r>
        <w:rPr>
          <w:rFonts w:ascii="Calibri" w:hAnsi="Calibri"/>
          <w:b w:val="0"/>
          <w:i w:val="0"/>
          <w:color w:val="455A64"/>
          <w:sz w:val="20"/>
        </w:rPr>
        <w:t>Sincerely,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1828800" cy="5418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541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Calibri" w:hAnsi="Calibri"/>
          <w:b/>
          <w:i w:val="0"/>
          <w:color w:val="2E7D32"/>
          <w:sz w:val="22"/>
        </w:rPr>
        <w:t>Kaitlyn Morris</w:t>
      </w:r>
    </w:p>
    <w:p>
      <w:pPr>
        <w:spacing w:after="40"/>
      </w:pPr>
      <w:r>
        <w:rPr>
          <w:rFonts w:ascii="Calibri" w:hAnsi="Calibri"/>
          <w:b w:val="0"/>
          <w:i w:val="0"/>
          <w:color w:val="455A64"/>
          <w:sz w:val="20"/>
        </w:rPr>
        <w:t>President · Green Communications Contracting LLC</w:t>
      </w:r>
    </w:p>
    <w:p>
      <w:pPr/>
      <w:r>
        <w:rPr>
          <w:rFonts w:ascii="Calibri" w:hAnsi="Calibri"/>
          <w:i/>
          <w:color w:val="2E7D32"/>
          <w:sz w:val="20"/>
        </w:rPr>
        <w:t>Low-Voltage Div 27/28 Contractor</w:t>
      </w:r>
    </w:p>
    <w:p>
      <w:pPr>
        <w:spacing w:after="0"/>
      </w:pPr>
      <w:r>
        <w:rPr>
          <w:rFonts w:ascii="Calibri" w:hAnsi="Calibri"/>
          <w:b w:val="0"/>
          <w:i w:val="0"/>
          <w:color w:val="455A64"/>
          <w:sz w:val="20"/>
        </w:rPr>
        <w:t>(636) 224-8192  ·  kaitlyn@greencommllc.com  ·  KCMO &amp; STL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592" w:right="1296" w:bottom="1152" w:left="129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7920"/>
      <w:gridCol w:w="2160"/>
    </w:tblGrid>
    <w:tr>
      <w:tc>
        <w:tcPr>
          <w:tcW w:type="dxa" w:w="5040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i/>
              <w:color w:val="455A64"/>
              <w:sz w:val="16"/>
            </w:rPr>
            <w:t>GCC LLC   ·   Proprietary &amp; Confidential   ·   Licensed &amp; Insured   ·   KCMO &amp; STL</w:t>
          </w:r>
        </w:p>
      </w:tc>
      <w:tc>
        <w:tcPr>
          <w:tcW w:type="dxa" w:w="504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color w:val="455A64"/>
              <w:sz w:val="16"/>
            </w:rPr>
            <w:t xml:space="preserve">Page </w:t>
          </w:r>
          <w:r>
            <w:rPr>
              <w:rFonts w:ascii="Calibri" w:hAnsi="Calibri"/>
              <w:color w:val="455A64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Calibri" w:hAnsi="Calibri"/>
              <w:color w:val="455A64"/>
              <w:sz w:val="16"/>
            </w:rPr>
            <w:t xml:space="preserve"> of </w:t>
          </w:r>
          <w:r>
            <w:rPr>
              <w:rFonts w:ascii="Calibri" w:hAnsi="Calibri"/>
              <w:color w:val="455A64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4320"/>
    </w:tblGrid>
    <w:tr>
      <w:tc>
        <w:tcPr>
          <w:tcW w:type="dxa" w:w="5616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828800" cy="127579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ul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127579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20"/>
          <w:tcBorders>
            <w:top w:val="nil"/>
            <w:left w:val="nil"/>
            <w:bottom w:val="nil"/>
            <w:right w:val="nil"/>
          </w:tcBorders>
        </w:tcPr>
        <w:p/>
      </w:tc>
    </w:tr>
  </w:tbl>
  <w:p>
    <w:pPr>
      <w:spacing w:before="80" w:after="0"/>
      <w:pBdr>
        <w:bottom w:val="single" w:sz="12" w:color="2E7D32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