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/>
        <w:jc w:val="center"/>
      </w:pPr>
      <w:r>
        <w:rPr>
          <w:rFonts w:ascii="Calibri" w:hAnsi="Calibri"/>
          <w:b/>
          <w:color w:val="2E7D32"/>
          <w:sz w:val="44"/>
        </w:rPr>
        <w:t>BID OVERVIEW</w:t>
      </w:r>
    </w:p>
    <w:p>
      <w:pPr>
        <w:keepNext/>
        <w:spacing w:after="0"/>
        <w:jc w:val="center"/>
      </w:pPr>
      <w:r>
        <w:rPr>
          <w:rFonts w:ascii="Calibri" w:hAnsi="Calibri"/>
          <w:color w:val="455A64"/>
          <w:sz w:val="26"/>
        </w:rPr>
        <w:t>{{SITE_NAME}} — {{CITY_STATE}}</w:t>
      </w:r>
    </w:p>
    <w:p>
      <w:pPr>
        <w:spacing w:after="160"/>
        <w:jc w:val="center"/>
      </w:pPr>
      <w:r>
        <w:rPr>
          <w:rFonts w:ascii="Calibri" w:hAnsi="Calibri"/>
          <w:i/>
          <w:color w:val="455A64"/>
          <w:sz w:val="20"/>
        </w:rPr>
        <w:t>Division 27 • Division 28  •  Low-Voltage Subcontract</w:t>
      </w:r>
    </w:p>
    <w:p>
      <w:pPr>
        <w:pBdr>
          <w:bottom w:val="single" w:sz="12" w:color="2E7D32"/>
        </w:pBdr>
      </w:pPr>
    </w:p>
    <w:p>
      <w:pPr>
        <w:keepNext/>
        <w:spacing w:before="160" w:after="0"/>
        <w:jc w:val="center"/>
      </w:pPr>
      <w:r>
        <w:rPr>
          <w:rFonts w:ascii="Calibri" w:hAnsi="Calibri"/>
          <w:b/>
          <w:color w:val="455A64"/>
          <w:sz w:val="22"/>
        </w:rPr>
        <w:t>BASE BID</w:t>
      </w:r>
    </w:p>
    <w:p>
      <w:pPr>
        <w:keepNext/>
        <w:spacing w:before="0" w:after="0"/>
        <w:jc w:val="center"/>
      </w:pPr>
      <w:r>
        <w:rPr>
          <w:rFonts w:ascii="Calibri" w:hAnsi="Calibri"/>
          <w:b/>
          <w:color w:val="2E7D32"/>
          <w:sz w:val="88"/>
        </w:rPr>
        <w:t>${{BASE_BID}}</w:t>
      </w:r>
    </w:p>
    <w:p>
      <w:pPr>
        <w:spacing w:after="160"/>
        <w:jc w:val="center"/>
      </w:pPr>
      <w:r>
        <w:rPr>
          <w:rFonts w:ascii="Calibri" w:hAnsi="Calibri"/>
          <w:i/>
          <w:color w:val="455A64"/>
          <w:sz w:val="20"/>
        </w:rPr>
        <w:t>Firm-fixed. Valid 30 days.</w:t>
      </w:r>
    </w:p>
    <w:p>
      <w:pPr>
        <w:pBdr>
          <w:bottom w:val="single" w:sz="12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/>
                <w:b/>
                <w:color w:val="2E7D32"/>
                <w:sz w:val="24"/>
              </w:rPr>
              <w:t>WHY GCC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olor w:val="D4AF37"/>
                <w:sz w:val="22"/>
              </w:rPr>
              <w:t xml:space="preserve">●  </w:t>
            </w:r>
            <w:r>
              <w:rPr>
                <w:rFonts w:ascii="Calibri" w:hAnsi="Calibri"/>
                <w:color w:val="455A64"/>
                <w:sz w:val="20"/>
              </w:rPr>
              <w:t>Lifetime workmanship warranty — transfers with the property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olor w:val="D4AF37"/>
                <w:sz w:val="22"/>
              </w:rPr>
              <w:t xml:space="preserve">●  </w:t>
            </w:r>
            <w:r>
              <w:rPr>
                <w:rFonts w:ascii="Calibri" w:hAnsi="Calibri"/>
                <w:color w:val="455A64"/>
                <w:sz w:val="20"/>
              </w:rPr>
              <w:t>100% on-time delivery record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olor w:val="D4AF37"/>
                <w:sz w:val="22"/>
              </w:rPr>
              <w:t xml:space="preserve">●  </w:t>
            </w:r>
            <w:r>
              <w:rPr>
                <w:rFonts w:ascii="Calibri" w:hAnsi="Calibri"/>
                <w:color w:val="455A64"/>
                <w:sz w:val="20"/>
              </w:rPr>
              <w:t>Fluke DSX-8000 certification on every cable, LinkWare PDF at closeout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olor w:val="D4AF37"/>
                <w:sz w:val="22"/>
              </w:rPr>
              <w:t xml:space="preserve">●  </w:t>
            </w:r>
            <w:r>
              <w:rPr>
                <w:rFonts w:ascii="Calibri" w:hAnsi="Calibri"/>
                <w:color w:val="455A64"/>
                <w:sz w:val="20"/>
              </w:rPr>
              <w:t>Cat6A plenum included on every data drop (no upcharge vs. Cat6 spec)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/>
                <w:b/>
                <w:color w:val="2E7D32"/>
                <w:sz w:val="24"/>
              </w:rPr>
              <w:t>SCOPE SNAPSHOT</w:t>
            </w:r>
          </w:p>
          <w:p>
            <w:pPr>
              <w:spacing w:after="60"/>
            </w:pPr>
            <w:r>
              <w:rPr>
                <w:rFonts w:ascii="Calibri" w:hAnsi="Calibri"/>
                <w:color w:val="455A64"/>
                <w:sz w:val="20"/>
              </w:rPr>
              <w:t xml:space="preserve">Data outlets:  </w:t>
            </w:r>
            <w:r>
              <w:rPr>
                <w:rFonts w:ascii="Calibri" w:hAnsi="Calibri"/>
                <w:b/>
                <w:color w:val="2E7D32"/>
                <w:sz w:val="20"/>
              </w:rPr>
              <w:t>{{DATA_COUNT}}</w:t>
            </w:r>
          </w:p>
          <w:p>
            <w:pPr>
              <w:spacing w:after="60"/>
            </w:pPr>
            <w:r>
              <w:rPr>
                <w:rFonts w:ascii="Calibri" w:hAnsi="Calibri"/>
                <w:color w:val="455A64"/>
                <w:sz w:val="20"/>
              </w:rPr>
              <w:t xml:space="preserve">WAPs:  </w:t>
            </w:r>
            <w:r>
              <w:rPr>
                <w:rFonts w:ascii="Calibri" w:hAnsi="Calibri"/>
                <w:b/>
                <w:color w:val="2E7D32"/>
                <w:sz w:val="20"/>
              </w:rPr>
              <w:t>{{WAP_COUNT}}</w:t>
            </w:r>
          </w:p>
          <w:p>
            <w:pPr>
              <w:spacing w:after="60"/>
            </w:pPr>
            <w:r>
              <w:rPr>
                <w:rFonts w:ascii="Calibri" w:hAnsi="Calibri"/>
                <w:color w:val="455A64"/>
                <w:sz w:val="20"/>
              </w:rPr>
              <w:t xml:space="preserve">Cameras + AV:  </w:t>
            </w:r>
            <w:r>
              <w:rPr>
                <w:rFonts w:ascii="Calibri" w:hAnsi="Calibri"/>
                <w:b/>
                <w:color w:val="2E7D32"/>
                <w:sz w:val="20"/>
              </w:rPr>
              <w:t>{{CAM_AV_COUNT}}</w:t>
            </w:r>
          </w:p>
          <w:p>
            <w:pPr>
              <w:spacing w:after="60"/>
            </w:pPr>
            <w:r>
              <w:rPr>
                <w:rFonts w:ascii="Calibri" w:hAnsi="Calibri"/>
                <w:color w:val="455A64"/>
                <w:sz w:val="20"/>
              </w:rPr>
              <w:t xml:space="preserve">ACS devices:  </w:t>
            </w:r>
            <w:r>
              <w:rPr>
                <w:rFonts w:ascii="Calibri" w:hAnsi="Calibri"/>
                <w:b/>
                <w:color w:val="2E7D32"/>
                <w:sz w:val="20"/>
              </w:rPr>
              <w:t>{{ACS_COUNT}}</w:t>
            </w:r>
          </w:p>
          <w:p>
            <w:pPr>
              <w:spacing w:after="60"/>
            </w:pPr>
            <w:r>
              <w:rPr>
                <w:rFonts w:ascii="Calibri" w:hAnsi="Calibri"/>
                <w:color w:val="455A64"/>
                <w:sz w:val="20"/>
              </w:rPr>
              <w:t xml:space="preserve">Fiber strand-LF:  </w:t>
            </w:r>
            <w:r>
              <w:rPr>
                <w:rFonts w:ascii="Calibri" w:hAnsi="Calibri"/>
                <w:b/>
                <w:color w:val="2E7D32"/>
                <w:sz w:val="20"/>
              </w:rPr>
              <w:t>{{FIBER_LF}}</w:t>
            </w:r>
          </w:p>
          <w:p>
            <w:pPr>
              <w:spacing w:after="60"/>
            </w:pPr>
            <w:r>
              <w:rPr>
                <w:rFonts w:ascii="Calibri" w:hAnsi="Calibri"/>
                <w:color w:val="455A64"/>
                <w:sz w:val="20"/>
              </w:rPr>
              <w:t xml:space="preserve">TR buildout:  </w:t>
            </w:r>
            <w:r>
              <w:rPr>
                <w:rFonts w:ascii="Calibri" w:hAnsi="Calibri"/>
                <w:b/>
                <w:color w:val="2E7D32"/>
                <w:sz w:val="20"/>
              </w:rPr>
              <w:t>1 MDF + {{IDF_COUNT}} IDF(s)</w:t>
            </w:r>
          </w:p>
        </w:tc>
      </w:tr>
    </w:tbl>
    <w:p>
      <w:pPr>
        <w:spacing w:after="80"/>
      </w:pPr>
    </w:p>
    <w:p>
      <w:pPr>
        <w:pBdr>
          <w:bottom w:val="single" w:sz="12" w:color="2E7D32"/>
        </w:pBdr>
      </w:pPr>
    </w:p>
    <w:p>
      <w:pPr>
        <w:keepNext/>
        <w:spacing w:after="0"/>
      </w:pPr>
      <w:r>
        <w:rPr>
          <w:rFonts w:ascii="Calibri" w:hAnsi="Calibri"/>
          <w:b/>
          <w:i w:val="0"/>
          <w:color w:val="2E7D32"/>
          <w:sz w:val="20"/>
        </w:rPr>
        <w:t>STANDARDS</w:t>
      </w: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18"/>
        </w:rPr>
        <w:t>Cat6A plenum default  •  Blue data / Green CCTV / Red ACS  •  TIA-568.2-D Class EA channel  •  TIA-606-C Class 3 labeling</w:t>
      </w:r>
    </w:p>
    <w:p>
      <w:pPr>
        <w:keepNext/>
        <w:spacing w:after="0"/>
      </w:pPr>
      <w:r>
        <w:rPr>
          <w:rFonts w:ascii="Calibri" w:hAnsi="Calibri"/>
          <w:b/>
          <w:i w:val="0"/>
          <w:color w:val="2E7D32"/>
          <w:sz w:val="20"/>
        </w:rPr>
        <w:t>ALTERNATES INCLUDED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18"/>
        </w:rPr>
        <w:t>UniFi Managed Services package — {{MS_TIER}} tier (see Bid Proposal §4)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18"/>
        </w:rPr>
        <w:t>Additional alternates per Bid Proposal §4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31520" cy="3620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tack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3620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