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40"/>
      </w:pPr>
      <w:r>
        <w:rPr>
          <w:rFonts w:ascii="Calibri" w:hAnsi="Calibri"/>
          <w:b/>
          <w:color w:val="2E7D32"/>
          <w:sz w:val="44"/>
        </w:rPr>
        <w:t>Bid Proposal</w:t>
      </w:r>
    </w:p>
    <w:p>
      <w:pPr>
        <w:keepNext/>
        <w:spacing w:after="40"/>
      </w:pPr>
      <w:r>
        <w:rPr>
          <w:rFonts w:ascii="Calibri" w:hAnsi="Calibri"/>
          <w:b w:val="0"/>
          <w:i w:val="0"/>
          <w:color w:val="455A64"/>
          <w:sz w:val="26"/>
        </w:rPr>
        <w:t>{{SITE_NAME}} — {{CITY_STATE}}</w:t>
      </w:r>
    </w:p>
    <w:p>
      <w:pPr>
        <w:keepNext/>
        <w:spacing w:after="160"/>
      </w:pPr>
      <w:r>
        <w:rPr>
          <w:rFonts w:ascii="Calibri" w:hAnsi="Calibri"/>
          <w:b w:val="0"/>
          <w:i w:val="0"/>
          <w:color w:val="455A64"/>
          <w:sz w:val="20"/>
        </w:rPr>
        <w:t>Division 27/28 Low-Voltage Subcontract  ·  Bid # {{BID_NUMBER}}  ·  Due {{DUE_DATE}}</w:t>
      </w:r>
    </w:p>
    <w:p>
      <w:pPr>
        <w:pBdr>
          <w:bottom w:val="single" w:sz="12" w:color="2E7D32"/>
        </w:pBdr>
      </w:pPr>
    </w:p>
    <w:p>
      <w:pPr>
        <w:keepNext/>
        <w:spacing w:before="160" w:after="80"/>
      </w:pPr>
      <w:r>
        <w:rPr>
          <w:rFonts w:ascii="Calibri" w:hAnsi="Calibri"/>
          <w:b/>
          <w:color w:val="2E7D32"/>
          <w:sz w:val="32"/>
        </w:rPr>
        <w:t>1.  Base Bid</w:t>
      </w:r>
    </w:p>
    <w:p>
      <w:pPr>
        <w:keepNext/>
        <w:spacing w:before="0" w:after="200"/>
        <w:pBdr>
          <w:bottom w:val="single" w:sz="8" w:color="2E7D32"/>
        </w:pBdr>
      </w:pPr>
    </w:p>
    <w:p>
      <w:pPr>
        <w:keepNext/>
        <w:spacing w:after="200"/>
      </w:pPr>
      <w:r>
        <w:rPr>
          <w:rFonts w:ascii="Calibri" w:hAnsi="Calibri"/>
          <w:b w:val="0"/>
          <w:i w:val="0"/>
          <w:color w:val="455A64"/>
          <w:sz w:val="20"/>
        </w:rPr>
        <w:t>GCC offers to furnish all Division 27 (Communications) and Division 28 (Electronic Safety &amp; Security) low-voltage work for {{SITE_NAME}} as set forth in the enclosed Statement of Work and the bid documents as drawn, for the following Base Bid, structured as three pricing buckets:</w:t>
      </w:r>
    </w:p>
    <w:tbl>
      <w:tblPr>
        <w:tblW w:type="auto" w:w="0"/>
        <w:tblLayout w:type="fixed"/>
        <w:tblLook w:firstColumn="1" w:firstRow="1" w:lastColumn="0" w:lastRow="0" w:noHBand="0" w:noVBand="1" w:val="04A0"/>
      </w:tblPr>
      <w:tblGrid>
        <w:gridCol w:w="1728"/>
        <w:gridCol w:w="5472"/>
        <w:gridCol w:w="2736"/>
      </w:tblGrid>
      <w:tr>
        <w:trPr>
          <w:cantSplit/>
          <w:tblHeader/>
        </w:trPr>
        <w:tc>
          <w:tcPr>
            <w:tcW w:type="dxa" w:w="1728"/>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Pricing Bucket</w:t>
            </w:r>
          </w:p>
        </w:tc>
        <w:tc>
          <w:tcPr>
            <w:tcW w:type="dxa" w:w="5472"/>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Description</w:t>
            </w:r>
          </w:p>
        </w:tc>
        <w:tc>
          <w:tcPr>
            <w:tcW w:type="dxa" w:w="2736"/>
            <w:shd w:val="clear" w:color="auto" w:fill="2E7D32"/>
            <w:tcBorders>
              <w:top w:val="single" w:sz="4" w:color="455A64"/>
              <w:left w:val="single" w:sz="4" w:color="455A64"/>
              <w:bottom w:val="single" w:sz="4" w:color="455A64"/>
              <w:right w:val="single" w:sz="4" w:color="455A64"/>
            </w:tcBorders>
            <w:vAlign w:val="center"/>
          </w:tcPr>
          <w:p>
            <w:pPr>
              <w:jc w:val="right"/>
            </w:pPr>
            <w:r>
              <w:rPr>
                <w:rFonts w:ascii="Calibri" w:hAnsi="Calibri"/>
                <w:b/>
                <w:color w:val="FFFFFF"/>
                <w:sz w:val="20"/>
              </w:rPr>
              <w:t>Amount</w:t>
            </w:r>
          </w:p>
        </w:tc>
      </w:tr>
      <w:tr>
        <w:trPr>
          <w:cantSplit/>
        </w:trPr>
        <w:tc>
          <w:tcPr>
            <w:tcW w:type="dxa" w:w="172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Materials</w:t>
            </w:r>
          </w:p>
        </w:tc>
        <w:tc>
          <w:tcPr>
            <w:tcW w:type="dxa" w:w="547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Commodity hardware, cable, terminations, labels, faceplates, patch panels, fiber housings, jacks, patch cords</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${{MAT_TOT}}</w:t>
            </w:r>
          </w:p>
        </w:tc>
      </w:tr>
      <w:tr>
        <w:trPr>
          <w:cantSplit/>
        </w:trPr>
        <w:tc>
          <w:tcPr>
            <w:tcW w:type="dxa" w:w="172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Labor</w:t>
            </w:r>
          </w:p>
        </w:tc>
        <w:tc>
          <w:tcPr>
            <w:tcW w:type="dxa" w:w="547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All physical install work: pull, terminate, dress, label, test, mobilize/demob. Certified payroll compliant where applicable.</w:t>
            </w:r>
          </w:p>
        </w:tc>
        <w:tc>
          <w:tcPr>
            <w:tcW w:type="dxa" w:w="273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${{LAB_TOT}}</w:t>
            </w:r>
          </w:p>
        </w:tc>
      </w:tr>
      <w:tr>
        <w:trPr>
          <w:cantSplit/>
        </w:trPr>
        <w:tc>
          <w:tcPr>
            <w:tcW w:type="dxa" w:w="172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Services</w:t>
            </w:r>
          </w:p>
        </w:tc>
        <w:tc>
          <w:tcPr>
            <w:tcW w:type="dxa" w:w="547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Project management, closeout documentation, warranty administration, testing report production, safety plan execution</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${{SVC_TOT}}</w:t>
            </w:r>
          </w:p>
        </w:tc>
      </w:tr>
      <w:tr>
        <w:trPr>
          <w:cantSplit/>
        </w:trPr>
        <w:tc>
          <w:tcPr>
            <w:tcW w:type="dxa" w:w="1728"/>
            <w:tcBorders>
              <w:top w:val="single" w:sz="4" w:color="455A64"/>
              <w:left w:val="single" w:sz="4" w:color="455A64"/>
              <w:bottom w:val="single" w:sz="4" w:color="455A64"/>
              <w:right w:val="single" w:sz="4" w:color="455A64"/>
            </w:tcBorders>
            <w:vAlign w:val="center"/>
            <w:shd w:val="clear" w:color="auto" w:fill="F1F8F1"/>
          </w:tcPr>
          <w:p>
            <w:pPr>
              <w:jc w:val="left"/>
            </w:pPr>
            <w:r>
              <w:rPr>
                <w:rFonts w:ascii="Calibri" w:hAnsi="Calibri"/>
                <w:b/>
                <w:color w:val="2E7D32"/>
                <w:sz w:val="20"/>
              </w:rPr>
            </w:r>
          </w:p>
        </w:tc>
        <w:tc>
          <w:tcPr>
            <w:tcW w:type="dxa" w:w="5472"/>
            <w:tcBorders>
              <w:top w:val="single" w:sz="4" w:color="455A64"/>
              <w:left w:val="single" w:sz="4" w:color="455A64"/>
              <w:bottom w:val="single" w:sz="4" w:color="455A64"/>
              <w:right w:val="single" w:sz="4" w:color="455A64"/>
            </w:tcBorders>
            <w:vAlign w:val="center"/>
            <w:shd w:val="clear" w:color="auto" w:fill="F1F8F1"/>
          </w:tcPr>
          <w:p>
            <w:pPr>
              <w:jc w:val="left"/>
            </w:pPr>
            <w:r>
              <w:rPr>
                <w:rFonts w:ascii="Calibri" w:hAnsi="Calibri"/>
                <w:b/>
                <w:color w:val="2E7D32"/>
                <w:sz w:val="20"/>
              </w:rPr>
              <w:t>Base Bid Total</w:t>
            </w:r>
          </w:p>
        </w:tc>
        <w:tc>
          <w:tcPr>
            <w:tcW w:type="dxa" w:w="2736"/>
            <w:tcBorders>
              <w:top w:val="single" w:sz="4" w:color="455A64"/>
              <w:left w:val="single" w:sz="4" w:color="455A64"/>
              <w:bottom w:val="single" w:sz="4" w:color="455A64"/>
              <w:right w:val="single" w:sz="4" w:color="455A64"/>
            </w:tcBorders>
            <w:vAlign w:val="center"/>
            <w:shd w:val="clear" w:color="auto" w:fill="F1F8F1"/>
          </w:tcPr>
          <w:p>
            <w:pPr>
              <w:jc w:val="right"/>
            </w:pPr>
            <w:r>
              <w:rPr>
                <w:rFonts w:ascii="Calibri" w:hAnsi="Calibri"/>
                <w:b/>
                <w:color w:val="2E7D32"/>
                <w:sz w:val="20"/>
              </w:rPr>
              <w:t>${{BASE_BID}}</w:t>
            </w:r>
          </w:p>
        </w:tc>
      </w:tr>
    </w:tbl>
    <w:p>
      <w:pPr>
        <w:spacing w:after="120"/>
      </w:pPr>
    </w:p>
    <w:p>
      <w:pPr>
        <w:spacing w:after="120"/>
      </w:pPr>
      <w:r>
        <w:rPr>
          <w:rFonts w:ascii="Calibri" w:hAnsi="Calibri"/>
          <w:b w:val="0"/>
          <w:i/>
          <w:color w:val="455A64"/>
          <w:sz w:val="20"/>
        </w:rPr>
        <w:t>The Base Bid is firm-fixed and valid for 30 days from the bid date. Billing is monthly on work performed; Net 30 payment terms; 10% retainage standard (reducible with negotiation); late fees 1.5% monthly on balances over 30 days.</w:t>
      </w:r>
    </w:p>
    <w:p>
      <w:pPr>
        <w:keepNext/>
        <w:pageBreakBefore/>
        <w:spacing w:before="0" w:after="80"/>
      </w:pPr>
      <w:r>
        <w:rPr>
          <w:rFonts w:ascii="Calibri" w:hAnsi="Calibri"/>
          <w:b/>
          <w:color w:val="2E7D32"/>
          <w:sz w:val="32"/>
        </w:rPr>
        <w:t>2.  Schedule of Values</w:t>
      </w:r>
    </w:p>
    <w:p>
      <w:pPr>
        <w:keepNext/>
        <w:spacing w:before="0" w:after="200"/>
        <w:pBdr>
          <w:bottom w:val="single" w:sz="8" w:color="2E7D32"/>
        </w:pBdr>
      </w:pPr>
    </w:p>
    <w:p>
      <w:pPr>
        <w:keepNext/>
        <w:spacing w:after="200"/>
      </w:pPr>
      <w:r>
        <w:rPr>
          <w:rFonts w:ascii="Calibri" w:hAnsi="Calibri"/>
          <w:b w:val="0"/>
          <w:i w:val="0"/>
          <w:color w:val="455A64"/>
          <w:sz w:val="20"/>
        </w:rPr>
        <w:t>The Schedule of Values mirrors the Base Bid three-bucket structure with line-item granularity for GC draw administration. Unit counts cross-reference the Statement of Work scope matrix.</w:t>
      </w:r>
    </w:p>
    <w:tbl>
      <w:tblPr>
        <w:tblW w:type="auto" w:w="0"/>
        <w:tblLayout w:type="fixed"/>
        <w:tblLook w:firstColumn="1" w:firstRow="1" w:lastColumn="0" w:lastRow="0" w:noHBand="0" w:noVBand="1" w:val="04A0"/>
      </w:tblPr>
      <w:tblGrid>
        <w:gridCol w:w="576"/>
        <w:gridCol w:w="6192"/>
        <w:gridCol w:w="432"/>
        <w:gridCol w:w="2736"/>
      </w:tblGrid>
      <w:tr>
        <w:trPr>
          <w:cantSplit/>
          <w:tblHeader/>
        </w:trPr>
        <w:tc>
          <w:tcPr>
            <w:tcW w:type="dxa" w:w="576"/>
            <w:shd w:val="clear" w:color="auto" w:fill="2E7D32"/>
            <w:tcBorders>
              <w:top w:val="single" w:sz="4" w:color="455A64"/>
              <w:left w:val="single" w:sz="4" w:color="455A64"/>
              <w:bottom w:val="single" w:sz="4" w:color="455A64"/>
              <w:right w:val="single" w:sz="4" w:color="455A64"/>
            </w:tcBorders>
            <w:vAlign w:val="center"/>
          </w:tcPr>
          <w:p>
            <w:pPr>
              <w:jc w:val="center"/>
            </w:pPr>
            <w:r>
              <w:rPr>
                <w:rFonts w:ascii="Calibri" w:hAnsi="Calibri"/>
                <w:b/>
                <w:color w:val="FFFFFF"/>
                <w:sz w:val="20"/>
              </w:rPr>
              <w:t>#</w:t>
            </w:r>
          </w:p>
        </w:tc>
        <w:tc>
          <w:tcPr>
            <w:tcW w:type="dxa" w:w="6192"/>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Description</w:t>
            </w:r>
          </w:p>
        </w:tc>
        <w:tc>
          <w:tcPr>
            <w:tcW w:type="dxa" w:w="432"/>
            <w:shd w:val="clear" w:color="auto" w:fill="2E7D32"/>
            <w:tcBorders>
              <w:top w:val="single" w:sz="4" w:color="455A64"/>
              <w:left w:val="single" w:sz="4" w:color="455A64"/>
              <w:bottom w:val="single" w:sz="4" w:color="455A64"/>
              <w:right w:val="single" w:sz="4" w:color="455A64"/>
            </w:tcBorders>
            <w:vAlign w:val="center"/>
          </w:tcPr>
          <w:p>
            <w:pPr>
              <w:jc w:val="center"/>
            </w:pPr>
            <w:r>
              <w:rPr>
                <w:rFonts w:ascii="Calibri" w:hAnsi="Calibri"/>
                <w:b/>
                <w:color w:val="FFFFFF"/>
                <w:sz w:val="20"/>
              </w:rPr>
            </w:r>
          </w:p>
        </w:tc>
        <w:tc>
          <w:tcPr>
            <w:tcW w:type="dxa" w:w="2736"/>
            <w:shd w:val="clear" w:color="auto" w:fill="2E7D32"/>
            <w:tcBorders>
              <w:top w:val="single" w:sz="4" w:color="455A64"/>
              <w:left w:val="single" w:sz="4" w:color="455A64"/>
              <w:bottom w:val="single" w:sz="4" w:color="455A64"/>
              <w:right w:val="single" w:sz="4" w:color="455A64"/>
            </w:tcBorders>
            <w:vAlign w:val="center"/>
          </w:tcPr>
          <w:p>
            <w:pPr>
              <w:jc w:val="right"/>
            </w:pPr>
            <w:r>
              <w:rPr>
                <w:rFonts w:ascii="Calibri" w:hAnsi="Calibri"/>
                <w:b/>
                <w:color w:val="FFFFFF"/>
                <w:sz w:val="20"/>
              </w:rPr>
              <w:t>Amount</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01</w:t>
            </w:r>
          </w:p>
        </w:tc>
        <w:tc>
          <w:tcPr>
            <w:tcW w:type="dxa" w:w="619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Mobilization — kickoff, site orientation, safety onboarding</w:t>
            </w:r>
          </w:p>
        </w:tc>
        <w:tc>
          <w:tcPr>
            <w:tcW w:type="dxa" w:w="43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{{SOV_01}}</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02</w:t>
            </w:r>
          </w:p>
        </w:tc>
        <w:tc>
          <w:tcPr>
            <w:tcW w:type="dxa" w:w="619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Materials — Cat6A plenum cable, jacks, faceplates, patch cords</w:t>
            </w:r>
          </w:p>
        </w:tc>
        <w:tc>
          <w:tcPr>
            <w:tcW w:type="dxa" w:w="43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{{SOV_02}}</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03</w:t>
            </w:r>
          </w:p>
        </w:tc>
        <w:tc>
          <w:tcPr>
            <w:tcW w:type="dxa" w:w="619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Materials — Fiber backbone, patch panels, housings, pigtails</w:t>
            </w:r>
          </w:p>
        </w:tc>
        <w:tc>
          <w:tcPr>
            <w:tcW w:type="dxa" w:w="43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{{SOV_03}}</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04</w:t>
            </w:r>
          </w:p>
        </w:tc>
        <w:tc>
          <w:tcPr>
            <w:tcW w:type="dxa" w:w="619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Materials — Camera / ACS cabling, composite jackets, readers (OFCI: $0)</w:t>
            </w:r>
          </w:p>
        </w:tc>
        <w:tc>
          <w:tcPr>
            <w:tcW w:type="dxa" w:w="43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{{SOV_04}}</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05</w:t>
            </w:r>
          </w:p>
        </w:tc>
        <w:tc>
          <w:tcPr>
            <w:tcW w:type="dxa" w:w="619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Materials — Rack, ladder racking, PDU, cable management</w:t>
            </w:r>
          </w:p>
        </w:tc>
        <w:tc>
          <w:tcPr>
            <w:tcW w:type="dxa" w:w="43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{{SOV_05}}</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06</w:t>
            </w:r>
          </w:p>
        </w:tc>
        <w:tc>
          <w:tcPr>
            <w:tcW w:type="dxa" w:w="619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Labor — Horizontal cable install (pull, dress, terminate, label)</w:t>
            </w:r>
          </w:p>
        </w:tc>
        <w:tc>
          <w:tcPr>
            <w:tcW w:type="dxa" w:w="43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{{SOV_06}}</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07</w:t>
            </w:r>
          </w:p>
        </w:tc>
        <w:tc>
          <w:tcPr>
            <w:tcW w:type="dxa" w:w="619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Labor — Fiber termination (fusion, test)</w:t>
            </w:r>
          </w:p>
        </w:tc>
        <w:tc>
          <w:tcPr>
            <w:tcW w:type="dxa" w:w="43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{{SOV_07}}</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08</w:t>
            </w:r>
          </w:p>
        </w:tc>
        <w:tc>
          <w:tcPr>
            <w:tcW w:type="dxa" w:w="619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Labor — Device install (cameras, readers, WAPs — mounts/trim)</w:t>
            </w:r>
          </w:p>
        </w:tc>
        <w:tc>
          <w:tcPr>
            <w:tcW w:type="dxa" w:w="43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{{SOV_08}}</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09</w:t>
            </w:r>
          </w:p>
        </w:tc>
        <w:tc>
          <w:tcPr>
            <w:tcW w:type="dxa" w:w="619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Labor — Testing &amp; certification (Fluke DSX-8000 every drop)</w:t>
            </w:r>
          </w:p>
        </w:tc>
        <w:tc>
          <w:tcPr>
            <w:tcW w:type="dxa" w:w="43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{{SOV_09}}</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10</w:t>
            </w:r>
          </w:p>
        </w:tc>
        <w:tc>
          <w:tcPr>
            <w:tcW w:type="dxa" w:w="619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Services — Project management + closeout documentation</w:t>
            </w:r>
          </w:p>
        </w:tc>
        <w:tc>
          <w:tcPr>
            <w:tcW w:type="dxa" w:w="43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{{SOV_10}}</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11</w:t>
            </w:r>
          </w:p>
        </w:tc>
        <w:tc>
          <w:tcPr>
            <w:tcW w:type="dxa" w:w="619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Services — Warranty administration + LinkWare report production</w:t>
            </w:r>
          </w:p>
        </w:tc>
        <w:tc>
          <w:tcPr>
            <w:tcW w:type="dxa" w:w="43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w:t>
            </w:r>
          </w:p>
        </w:tc>
        <w:tc>
          <w:tcPr>
            <w:tcW w:type="dxa" w:w="273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{{SOV_11}}</w:t>
            </w:r>
          </w:p>
        </w:tc>
      </w:tr>
      <w:tr>
        <w:trPr>
          <w:cantSplit/>
        </w:trPr>
        <w:tc>
          <w:tcPr>
            <w:tcW w:type="dxa" w:w="576"/>
            <w:tcBorders>
              <w:top w:val="single" w:sz="4" w:color="455A64"/>
              <w:left w:val="single" w:sz="4" w:color="455A64"/>
              <w:bottom w:val="single" w:sz="4" w:color="455A64"/>
              <w:right w:val="single" w:sz="4" w:color="455A64"/>
            </w:tcBorders>
            <w:vAlign w:val="center"/>
            <w:shd w:val="clear" w:color="auto" w:fill="F1F8F1"/>
          </w:tcPr>
          <w:p>
            <w:pPr>
              <w:jc w:val="center"/>
            </w:pPr>
            <w:r>
              <w:rPr>
                <w:rFonts w:ascii="Calibri" w:hAnsi="Calibri"/>
                <w:b/>
                <w:color w:val="2E7D32"/>
                <w:sz w:val="20"/>
              </w:rPr>
            </w:r>
          </w:p>
        </w:tc>
        <w:tc>
          <w:tcPr>
            <w:tcW w:type="dxa" w:w="6192"/>
            <w:tcBorders>
              <w:top w:val="single" w:sz="4" w:color="455A64"/>
              <w:left w:val="single" w:sz="4" w:color="455A64"/>
              <w:bottom w:val="single" w:sz="4" w:color="455A64"/>
              <w:right w:val="single" w:sz="4" w:color="455A64"/>
            </w:tcBorders>
            <w:vAlign w:val="center"/>
            <w:shd w:val="clear" w:color="auto" w:fill="F1F8F1"/>
          </w:tcPr>
          <w:p>
            <w:pPr>
              <w:jc w:val="left"/>
            </w:pPr>
            <w:r>
              <w:rPr>
                <w:rFonts w:ascii="Calibri" w:hAnsi="Calibri"/>
                <w:b/>
                <w:color w:val="2E7D32"/>
                <w:sz w:val="20"/>
              </w:rPr>
              <w:t>Grand Total (matches Base Bid §1)</w:t>
            </w:r>
          </w:p>
        </w:tc>
        <w:tc>
          <w:tcPr>
            <w:tcW w:type="dxa" w:w="432"/>
            <w:tcBorders>
              <w:top w:val="single" w:sz="4" w:color="455A64"/>
              <w:left w:val="single" w:sz="4" w:color="455A64"/>
              <w:bottom w:val="single" w:sz="4" w:color="455A64"/>
              <w:right w:val="single" w:sz="4" w:color="455A64"/>
            </w:tcBorders>
            <w:vAlign w:val="center"/>
            <w:shd w:val="clear" w:color="auto" w:fill="F1F8F1"/>
          </w:tcPr>
          <w:p>
            <w:pPr>
              <w:jc w:val="center"/>
            </w:pPr>
            <w:r>
              <w:rPr>
                <w:rFonts w:ascii="Calibri" w:hAnsi="Calibri"/>
                <w:b/>
                <w:color w:val="2E7D32"/>
                <w:sz w:val="20"/>
              </w:rPr>
              <w:t>$</w:t>
            </w:r>
          </w:p>
        </w:tc>
        <w:tc>
          <w:tcPr>
            <w:tcW w:type="dxa" w:w="2736"/>
            <w:tcBorders>
              <w:top w:val="single" w:sz="4" w:color="455A64"/>
              <w:left w:val="single" w:sz="4" w:color="455A64"/>
              <w:bottom w:val="single" w:sz="4" w:color="455A64"/>
              <w:right w:val="single" w:sz="4" w:color="455A64"/>
            </w:tcBorders>
            <w:vAlign w:val="center"/>
            <w:shd w:val="clear" w:color="auto" w:fill="F1F8F1"/>
          </w:tcPr>
          <w:p>
            <w:pPr>
              <w:jc w:val="right"/>
            </w:pPr>
            <w:r>
              <w:rPr>
                <w:rFonts w:ascii="Calibri" w:hAnsi="Calibri"/>
                <w:b/>
                <w:color w:val="2E7D32"/>
                <w:sz w:val="20"/>
              </w:rPr>
              <w:t>{{BASE_BID}}</w:t>
            </w:r>
          </w:p>
        </w:tc>
      </w:tr>
    </w:tbl>
    <w:p>
      <w:pPr>
        <w:spacing w:after="120"/>
      </w:pPr>
    </w:p>
    <w:p>
      <w:pPr>
        <w:keepNext/>
        <w:pageBreakBefore/>
        <w:spacing w:before="0" w:after="80"/>
      </w:pPr>
      <w:r>
        <w:rPr>
          <w:rFonts w:ascii="Calibri" w:hAnsi="Calibri"/>
          <w:b/>
          <w:color w:val="2E7D32"/>
          <w:sz w:val="32"/>
        </w:rPr>
        <w:t>3.  Quantities &amp; Allowances</w:t>
      </w:r>
    </w:p>
    <w:p>
      <w:pPr>
        <w:keepNext/>
        <w:spacing w:before="0" w:after="200"/>
        <w:pBdr>
          <w:bottom w:val="single" w:sz="8" w:color="2E7D32"/>
        </w:pBdr>
      </w:pPr>
    </w:p>
    <w:p>
      <w:pPr>
        <w:keepNext/>
        <w:spacing w:after="200"/>
      </w:pPr>
      <w:r>
        <w:rPr>
          <w:rFonts w:ascii="Calibri" w:hAnsi="Calibri"/>
          <w:b w:val="0"/>
          <w:i w:val="0"/>
          <w:color w:val="455A64"/>
          <w:sz w:val="20"/>
        </w:rPr>
        <w:t>The Base Bid in §1 is priced on the quantities, allowances, and included upgrades stated below. Field quantities that differ from the basis are reconciled via Unit Prices in §5. This section is the sole basis of bid.</w:t>
      </w:r>
    </w:p>
    <w:p>
      <w:pPr>
        <w:keepNext/>
        <w:spacing w:before="200" w:after="80"/>
      </w:pPr>
      <w:r>
        <w:rPr>
          <w:rFonts w:ascii="Calibri" w:hAnsi="Calibri"/>
          <w:b/>
          <w:color w:val="455A64"/>
          <w:sz w:val="22"/>
        </w:rPr>
        <w:t>Basis of Bid — documents relied upon</w:t>
      </w:r>
    </w:p>
    <w:p>
      <w:pPr>
        <w:pStyle w:val="ListBullet"/>
        <w:spacing w:after="60"/>
      </w:pPr>
      <w:r>
        <w:rPr>
          <w:rFonts w:ascii="Calibri" w:hAnsi="Calibri"/>
          <w:b w:val="0"/>
          <w:color w:val="455A64"/>
          <w:sz w:val="20"/>
        </w:rPr>
        <w:t>Bid documents: {{BID_DOC_SET}} (plans, specifications, addenda) dated {{BID_DOC_DATE}}.</w:t>
      </w:r>
    </w:p>
    <w:p>
      <w:pPr>
        <w:pStyle w:val="ListBullet"/>
        <w:spacing w:after="60"/>
      </w:pPr>
      <w:r>
        <w:rPr>
          <w:rFonts w:ascii="Calibri" w:hAnsi="Calibri"/>
          <w:b w:val="0"/>
          <w:color w:val="455A64"/>
          <w:sz w:val="20"/>
        </w:rPr>
        <w:t>Addenda priced: {{ADDENDA_LIST}}. Addenda issued after bid lock are NOT priced.</w:t>
      </w:r>
    </w:p>
    <w:p>
      <w:pPr>
        <w:pStyle w:val="ListBullet"/>
        <w:spacing w:after="60"/>
      </w:pPr>
      <w:r>
        <w:rPr>
          <w:rFonts w:ascii="Calibri" w:hAnsi="Calibri"/>
          <w:b w:val="0"/>
          <w:color w:val="455A64"/>
          <w:sz w:val="20"/>
        </w:rPr>
        <w:t>Pre-bid RFIs answered by GC that GCC relied upon: {{RFI_LIST}} (incorporated).</w:t>
      </w:r>
    </w:p>
    <w:p>
      <w:pPr>
        <w:pStyle w:val="ListBullet"/>
        <w:spacing w:after="60"/>
      </w:pPr>
      <w:r>
        <w:rPr>
          <w:rFonts w:ascii="Calibri" w:hAnsi="Calibri"/>
          <w:b w:val="0"/>
          <w:color w:val="455A64"/>
          <w:sz w:val="20"/>
        </w:rPr>
        <w:t>Scope is bid as drawn. Ambiguity resolved by GCC via assumption, exclusion, or allowance — never by post-bid clarification request.</w:t>
      </w:r>
    </w:p>
    <w:p>
      <w:pPr>
        <w:keepNext/>
        <w:spacing w:before="200" w:after="80"/>
      </w:pPr>
      <w:r>
        <w:rPr>
          <w:rFonts w:ascii="Calibri" w:hAnsi="Calibri"/>
          <w:b/>
          <w:color w:val="455A64"/>
          <w:sz w:val="22"/>
        </w:rPr>
        <w:t>Base Bid Quantities</w:t>
      </w:r>
    </w:p>
    <w:tbl>
      <w:tblPr>
        <w:tblW w:type="auto" w:w="0"/>
        <w:tblLayout w:type="fixed"/>
        <w:tblLook w:firstColumn="1" w:firstRow="1" w:lastColumn="0" w:lastRow="0" w:noHBand="0" w:noVBand="1" w:val="04A0"/>
      </w:tblPr>
      <w:tblGrid>
        <w:gridCol w:w="5904"/>
        <w:gridCol w:w="2016"/>
        <w:gridCol w:w="2016"/>
      </w:tblGrid>
      <w:tr>
        <w:trPr>
          <w:cantSplit/>
          <w:tblHeader/>
        </w:trPr>
        <w:tc>
          <w:tcPr>
            <w:tcW w:type="dxa" w:w="5904"/>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Item</w:t>
            </w:r>
          </w:p>
        </w:tc>
        <w:tc>
          <w:tcPr>
            <w:tcW w:type="dxa" w:w="2016"/>
            <w:shd w:val="clear" w:color="auto" w:fill="2E7D32"/>
            <w:tcBorders>
              <w:top w:val="single" w:sz="4" w:color="455A64"/>
              <w:left w:val="single" w:sz="4" w:color="455A64"/>
              <w:bottom w:val="single" w:sz="4" w:color="455A64"/>
              <w:right w:val="single" w:sz="4" w:color="455A64"/>
            </w:tcBorders>
            <w:vAlign w:val="center"/>
          </w:tcPr>
          <w:p>
            <w:pPr>
              <w:jc w:val="right"/>
            </w:pPr>
            <w:r>
              <w:rPr>
                <w:rFonts w:ascii="Calibri" w:hAnsi="Calibri"/>
                <w:b/>
                <w:color w:val="FFFFFF"/>
                <w:sz w:val="20"/>
              </w:rPr>
              <w:t>Quantity</w:t>
            </w:r>
          </w:p>
        </w:tc>
        <w:tc>
          <w:tcPr>
            <w:tcW w:type="dxa" w:w="2016"/>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Unit</w:t>
            </w:r>
          </w:p>
        </w:tc>
      </w:tr>
      <w:tr>
        <w:trPr>
          <w:cantSplit/>
        </w:trPr>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Data drops (Cat6A plenum)</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{{QTY_DATA_DROPS}}</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each</w:t>
            </w:r>
          </w:p>
        </w:tc>
      </w:tr>
      <w:tr>
        <w:trPr>
          <w:cantSplit/>
        </w:trPr>
        <w:tc>
          <w:tcPr>
            <w:tcW w:type="dxa" w:w="590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Voice drops (Cat6A plenum)</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{{QTY_VOICE_DROPS}}</w:t>
            </w:r>
          </w:p>
        </w:tc>
        <w:tc>
          <w:tcPr>
            <w:tcW w:type="dxa" w:w="201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each</w:t>
            </w:r>
          </w:p>
        </w:tc>
      </w:tr>
      <w:tr>
        <w:trPr>
          <w:cantSplit/>
        </w:trPr>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Wireless access points (cabling + mount)</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{{QTY_WAPS}}</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each</w:t>
            </w:r>
          </w:p>
        </w:tc>
      </w:tr>
      <w:tr>
        <w:trPr>
          <w:cantSplit/>
        </w:trPr>
        <w:tc>
          <w:tcPr>
            <w:tcW w:type="dxa" w:w="590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IP cameras (cabling + mount, OFCI)</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{{QTY_CAMERAS}}</w:t>
            </w:r>
          </w:p>
        </w:tc>
        <w:tc>
          <w:tcPr>
            <w:tcW w:type="dxa" w:w="201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each</w:t>
            </w:r>
          </w:p>
        </w:tc>
      </w:tr>
      <w:tr>
        <w:trPr>
          <w:cantSplit/>
        </w:trPr>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ACS card readers (composite cable — locks/REX/DPS OUT, see §7)</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{{QTY_ACS}}</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each</w:t>
            </w:r>
          </w:p>
        </w:tc>
      </w:tr>
      <w:tr>
        <w:trPr>
          <w:cantSplit/>
        </w:trPr>
        <w:tc>
          <w:tcPr>
            <w:tcW w:type="dxa" w:w="590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Fiber strands terminated (backbone OS2/OM4)</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{{QTY_FIBER_STRANDS}}</w:t>
            </w:r>
          </w:p>
        </w:tc>
        <w:tc>
          <w:tcPr>
            <w:tcW w:type="dxa" w:w="201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strands</w:t>
            </w:r>
          </w:p>
        </w:tc>
      </w:tr>
      <w:tr>
        <w:trPr>
          <w:cantSplit/>
        </w:trPr>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MDF rooms — full buildout</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{{QTY_MDF}}</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each</w:t>
            </w:r>
          </w:p>
        </w:tc>
      </w:tr>
      <w:tr>
        <w:trPr>
          <w:cantSplit/>
        </w:trPr>
        <w:tc>
          <w:tcPr>
            <w:tcW w:type="dxa" w:w="590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IDF rooms — full buildout</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{{QTY_IDF}}</w:t>
            </w:r>
          </w:p>
        </w:tc>
        <w:tc>
          <w:tcPr>
            <w:tcW w:type="dxa" w:w="201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each</w:t>
            </w:r>
          </w:p>
        </w:tc>
      </w:tr>
      <w:tr>
        <w:trPr>
          <w:cantSplit/>
        </w:trPr>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Horizontal cable — aggregate</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{{QTY_CABLE_LF}}</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LF</w:t>
            </w:r>
          </w:p>
        </w:tc>
      </w:tr>
    </w:tbl>
    <w:p>
      <w:pPr>
        <w:spacing w:after="120"/>
      </w:pPr>
    </w:p>
    <w:p>
      <w:pPr>
        <w:keepNext/>
        <w:spacing w:before="200" w:after="80"/>
      </w:pPr>
      <w:r>
        <w:rPr>
          <w:rFonts w:ascii="Calibri" w:hAnsi="Calibri"/>
          <w:b/>
          <w:color w:val="455A64"/>
          <w:sz w:val="22"/>
        </w:rPr>
        <w:t>Allowances included in Base Bid</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Allowance</w:t>
            </w:r>
          </w:p>
        </w:tc>
        <w:tc>
          <w:tcPr>
            <w:tcW w:type="dxa" w:w="7056"/>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Scope</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Service loops</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10 LF at outlet end + 15 LF at MDF/IDF end per drop (TIA-606-C compliant)</w:t>
            </w:r>
          </w:p>
        </w:tc>
      </w:tr>
      <w:tr>
        <w:trPr>
          <w:cantSplit/>
        </w:trPr>
        <w:tc>
          <w:tcPr>
            <w:tcW w:type="dxa" w:w="288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Firestop penetrations (where in GCC scope)</w:t>
            </w:r>
          </w:p>
        </w:tc>
        <w:tc>
          <w:tcPr>
            <w:tcW w:type="dxa" w:w="705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{{ALLOW_FIRESTOP_QTY}} each; beyond this quantity reconciled via Unit Prices §5</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Cable routing deviation</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±5% of plan-shown routing, included; beyond reconciled by Unit Prices §5</w:t>
            </w:r>
          </w:p>
        </w:tc>
      </w:tr>
      <w:tr>
        <w:trPr>
          <w:cantSplit/>
        </w:trPr>
        <w:tc>
          <w:tcPr>
            <w:tcW w:type="dxa" w:w="288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Label reprint / revision</w:t>
            </w:r>
          </w:p>
        </w:tc>
        <w:tc>
          <w:tcPr>
            <w:tcW w:type="dxa" w:w="705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One pass included per drop; additional cycles per Change Order</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Punch-list revisits</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Two visits included post-substantial completion; additional visits at §5 rates</w:t>
            </w:r>
          </w:p>
        </w:tc>
      </w:tr>
      <w:tr>
        <w:trPr>
          <w:cantSplit/>
        </w:trPr>
        <w:tc>
          <w:tcPr>
            <w:tcW w:type="dxa" w:w="288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As-built drawing revisions</w:t>
            </w:r>
          </w:p>
        </w:tc>
        <w:tc>
          <w:tcPr>
            <w:tcW w:type="dxa" w:w="705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One set at closeout; revisions after owner acceptance per Change Order</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Mobilizations</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{{ALLOW_MOB_COUNT}} included; additional remobilizations per Change Order</w:t>
            </w:r>
          </w:p>
        </w:tc>
      </w:tr>
    </w:tbl>
    <w:p>
      <w:pPr>
        <w:spacing w:after="120"/>
      </w:pPr>
    </w:p>
    <w:p>
      <w:pPr>
        <w:keepNext/>
        <w:spacing w:before="200" w:after="80"/>
      </w:pPr>
      <w:r>
        <w:rPr>
          <w:rFonts w:ascii="Calibri" w:hAnsi="Calibri"/>
          <w:b/>
          <w:color w:val="455A64"/>
          <w:sz w:val="22"/>
        </w:rPr>
        <w:t>Included Upgrades — GCC standard, no upcharge</w:t>
      </w:r>
    </w:p>
    <w:p>
      <w:pPr>
        <w:pStyle w:val="ListBullet"/>
        <w:spacing w:after="60"/>
      </w:pPr>
      <w:r>
        <w:rPr>
          <w:rFonts w:ascii="Calibri" w:hAnsi="Calibri"/>
          <w:b w:val="0"/>
          <w:color w:val="455A64"/>
          <w:sz w:val="20"/>
        </w:rPr>
        <w:t>Cat6A plenum on every data drop — the GCC standard on every bid, included at no upcharge even when the base spec calls for Cat6. Cat6 substitute for Cat6A is NEVER offered on any GCC bid.</w:t>
      </w:r>
    </w:p>
    <w:p>
      <w:pPr>
        <w:pStyle w:val="ListBullet"/>
        <w:spacing w:after="60"/>
      </w:pPr>
      <w:r>
        <w:rPr>
          <w:rFonts w:ascii="Calibri" w:hAnsi="Calibri"/>
          <w:b w:val="0"/>
          <w:color w:val="455A64"/>
          <w:sz w:val="20"/>
        </w:rPr>
        <w:t>TIA-606-C Class 3 labeling on every drop and every strand (Building.Floor.Room.Outlet-Port).</w:t>
      </w:r>
    </w:p>
    <w:p>
      <w:pPr>
        <w:pStyle w:val="ListBullet"/>
        <w:spacing w:after="60"/>
      </w:pPr>
      <w:r>
        <w:rPr>
          <w:rFonts w:ascii="Calibri" w:hAnsi="Calibri"/>
          <w:b w:val="0"/>
          <w:color w:val="455A64"/>
          <w:sz w:val="20"/>
        </w:rPr>
        <w:t>100% Fluke DSX-8000 certification — every copper drop, every fiber strand, no sampling.</w:t>
      </w:r>
    </w:p>
    <w:p>
      <w:pPr>
        <w:pStyle w:val="ListBullet"/>
        <w:spacing w:after="60"/>
      </w:pPr>
      <w:r>
        <w:rPr>
          <w:rFonts w:ascii="Calibri" w:hAnsi="Calibri"/>
          <w:b w:val="0"/>
          <w:color w:val="455A64"/>
          <w:sz w:val="20"/>
        </w:rPr>
        <w:t>LinkWare PDF test reports indexed by Class 3 label, delivered at closeout.</w:t>
      </w:r>
    </w:p>
    <w:p>
      <w:pPr>
        <w:pStyle w:val="ListBullet"/>
        <w:spacing w:after="60"/>
      </w:pPr>
      <w:r>
        <w:rPr>
          <w:rFonts w:ascii="Calibri" w:hAnsi="Calibri"/>
          <w:b w:val="0"/>
          <w:color w:val="455A64"/>
          <w:sz w:val="20"/>
        </w:rPr>
        <w:t>Lifetime workmanship warranty — transferable with the property (see Standards §1).</w:t>
      </w:r>
    </w:p>
    <w:p>
      <w:pPr>
        <w:pStyle w:val="ListBullet"/>
        <w:spacing w:after="60"/>
      </w:pPr>
      <w:r>
        <w:rPr>
          <w:rFonts w:ascii="Calibri" w:hAnsi="Calibri"/>
          <w:b w:val="0"/>
          <w:color w:val="455A64"/>
          <w:sz w:val="20"/>
        </w:rPr>
        <w:t>Two punch-list revisits and one as-built revision pass, included.</w:t>
      </w:r>
    </w:p>
    <w:p>
      <w:pPr>
        <w:keepNext/>
        <w:spacing w:before="200" w:after="80"/>
      </w:pPr>
      <w:r>
        <w:rPr>
          <w:rFonts w:ascii="Calibri" w:hAnsi="Calibri"/>
          <w:b/>
          <w:color w:val="455A64"/>
          <w:sz w:val="22"/>
        </w:rPr>
        <w:t>Owner-Furnished / By-Others — OUT of Base</w:t>
      </w:r>
    </w:p>
    <w:p>
      <w:pPr>
        <w:pStyle w:val="ListBullet"/>
        <w:spacing w:after="60"/>
      </w:pPr>
      <w:r>
        <w:rPr>
          <w:rFonts w:ascii="Calibri" w:hAnsi="Calibri"/>
          <w:b w:val="0"/>
          <w:color w:val="455A64"/>
          <w:sz w:val="20"/>
        </w:rPr>
        <w:t>Active network equipment (switches, WAPs, firewalls, NVRs, controllers, head-ends) unless explicitly named with model numbers in specs.</w:t>
      </w:r>
    </w:p>
    <w:p>
      <w:pPr>
        <w:pStyle w:val="ListBullet"/>
        <w:spacing w:after="60"/>
      </w:pPr>
      <w:r>
        <w:rPr>
          <w:rFonts w:ascii="Calibri" w:hAnsi="Calibri"/>
          <w:b w:val="0"/>
          <w:color w:val="455A64"/>
          <w:sz w:val="20"/>
        </w:rPr>
        <w:t>Cameras, ACS panels, all sensor devices (DPS / REX / occupancy / glass-break / motion / duct-smoke), and all programming beyond physical commissioning — see Exclusions §7.H.</w:t>
      </w:r>
    </w:p>
    <w:p>
      <w:pPr>
        <w:pStyle w:val="ListBullet"/>
        <w:spacing w:after="60"/>
      </w:pPr>
      <w:r>
        <w:rPr>
          <w:rFonts w:ascii="Calibri" w:hAnsi="Calibri"/>
          <w:b w:val="0"/>
          <w:color w:val="455A64"/>
          <w:sz w:val="20"/>
        </w:rPr>
        <w:t>Conduit, raceway, cable tray, 120V/277V power, ALL grounding and bonding (TGB / ground bar / bonding jumpers / rack-panel bonding), and plywood backboards behind IT racks, cabinets, and demarc — see Exclusions §7.A.</w:t>
      </w:r>
    </w:p>
    <w:p>
      <w:pPr>
        <w:pStyle w:val="ListBullet"/>
        <w:spacing w:after="60"/>
      </w:pPr>
      <w:r>
        <w:rPr>
          <w:rFonts w:ascii="Calibri" w:hAnsi="Calibri"/>
          <w:b w:val="0"/>
          <w:color w:val="455A64"/>
          <w:sz w:val="20"/>
        </w:rPr>
        <w:t>Fire Alarm, ERCES/BDA/DAS, BMS, Lighting controls, HVAC controls — fully OUT, see Exclusions §7.B and §7.E.</w:t>
      </w:r>
    </w:p>
    <w:p>
      <w:pPr>
        <w:pStyle w:val="ListBullet"/>
        <w:spacing w:after="60"/>
      </w:pPr>
      <w:r>
        <w:rPr>
          <w:rFonts w:ascii="Calibri" w:hAnsi="Calibri"/>
          <w:b w:val="0"/>
          <w:color w:val="455A64"/>
          <w:sz w:val="20"/>
        </w:rPr>
        <w:t>Firestop of penetrations beyond the allowance above — see Exclusions §7.C.</w:t>
      </w:r>
    </w:p>
    <w:p>
      <w:pPr>
        <w:keepNext/>
        <w:pageBreakBefore/>
        <w:spacing w:before="0" w:after="80"/>
      </w:pPr>
      <w:r>
        <w:rPr>
          <w:rFonts w:ascii="Calibri" w:hAnsi="Calibri"/>
          <w:b/>
          <w:color w:val="2E7D32"/>
          <w:sz w:val="32"/>
        </w:rPr>
        <w:t>4.  Alternates</w:t>
      </w:r>
    </w:p>
    <w:p>
      <w:pPr>
        <w:keepNext/>
        <w:spacing w:before="0" w:after="200"/>
        <w:pBdr>
          <w:bottom w:val="single" w:sz="8" w:color="2E7D32"/>
        </w:pBdr>
      </w:pPr>
    </w:p>
    <w:p>
      <w:pPr>
        <w:keepNext/>
        <w:spacing w:after="200"/>
      </w:pPr>
      <w:r>
        <w:rPr>
          <w:rFonts w:ascii="Calibri" w:hAnsi="Calibri"/>
          <w:b w:val="0"/>
          <w:i w:val="0"/>
          <w:color w:val="455A64"/>
          <w:sz w:val="20"/>
        </w:rPr>
        <w:t>All alternates are priced as ADD to Base Bid unless labeled DEDUCT. Pricing firm for 30 days. Active equipment listed as OFCI unless specs name a model.</w:t>
      </w:r>
    </w:p>
    <w:tbl>
      <w:tblPr>
        <w:tblW w:type="auto" w:w="0"/>
        <w:tblLayout w:type="fixed"/>
        <w:tblLook w:firstColumn="1" w:firstRow="1" w:lastColumn="0" w:lastRow="0" w:noHBand="0" w:noVBand="1" w:val="04A0"/>
      </w:tblPr>
      <w:tblGrid>
        <w:gridCol w:w="576"/>
        <w:gridCol w:w="5904"/>
        <w:gridCol w:w="1296"/>
        <w:gridCol w:w="2160"/>
      </w:tblGrid>
      <w:tr>
        <w:trPr>
          <w:cantSplit/>
          <w:tblHeader/>
        </w:trPr>
        <w:tc>
          <w:tcPr>
            <w:tcW w:type="dxa" w:w="576"/>
            <w:shd w:val="clear" w:color="auto" w:fill="2E7D32"/>
            <w:tcBorders>
              <w:top w:val="single" w:sz="4" w:color="455A64"/>
              <w:left w:val="single" w:sz="4" w:color="455A64"/>
              <w:bottom w:val="single" w:sz="4" w:color="455A64"/>
              <w:right w:val="single" w:sz="4" w:color="455A64"/>
            </w:tcBorders>
            <w:vAlign w:val="center"/>
          </w:tcPr>
          <w:p>
            <w:pPr>
              <w:jc w:val="center"/>
            </w:pPr>
            <w:r>
              <w:rPr>
                <w:rFonts w:ascii="Calibri" w:hAnsi="Calibri"/>
                <w:b/>
                <w:color w:val="FFFFFF"/>
                <w:sz w:val="20"/>
              </w:rPr>
              <w:t>#</w:t>
            </w:r>
          </w:p>
        </w:tc>
        <w:tc>
          <w:tcPr>
            <w:tcW w:type="dxa" w:w="5904"/>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Description</w:t>
            </w:r>
          </w:p>
        </w:tc>
        <w:tc>
          <w:tcPr>
            <w:tcW w:type="dxa" w:w="1296"/>
            <w:shd w:val="clear" w:color="auto" w:fill="2E7D32"/>
            <w:tcBorders>
              <w:top w:val="single" w:sz="4" w:color="455A64"/>
              <w:left w:val="single" w:sz="4" w:color="455A64"/>
              <w:bottom w:val="single" w:sz="4" w:color="455A64"/>
              <w:right w:val="single" w:sz="4" w:color="455A64"/>
            </w:tcBorders>
            <w:vAlign w:val="center"/>
          </w:tcPr>
          <w:p>
            <w:pPr>
              <w:jc w:val="center"/>
            </w:pPr>
            <w:r>
              <w:rPr>
                <w:rFonts w:ascii="Calibri" w:hAnsi="Calibri"/>
                <w:b/>
                <w:color w:val="FFFFFF"/>
                <w:sz w:val="20"/>
              </w:rPr>
              <w:t>Type</w:t>
            </w:r>
          </w:p>
        </w:tc>
        <w:tc>
          <w:tcPr>
            <w:tcW w:type="dxa" w:w="2160"/>
            <w:shd w:val="clear" w:color="auto" w:fill="2E7D32"/>
            <w:tcBorders>
              <w:top w:val="single" w:sz="4" w:color="455A64"/>
              <w:left w:val="single" w:sz="4" w:color="455A64"/>
              <w:bottom w:val="single" w:sz="4" w:color="455A64"/>
              <w:right w:val="single" w:sz="4" w:color="455A64"/>
            </w:tcBorders>
            <w:vAlign w:val="center"/>
          </w:tcPr>
          <w:p>
            <w:pPr>
              <w:jc w:val="right"/>
            </w:pPr>
            <w:r>
              <w:rPr>
                <w:rFonts w:ascii="Calibri" w:hAnsi="Calibri"/>
                <w:b/>
                <w:color w:val="FFFFFF"/>
                <w:sz w:val="20"/>
              </w:rPr>
              <w:t>Amount</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A1</w:t>
            </w:r>
          </w:p>
        </w:tc>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UniFi Managed Services — {{MS_TIER}} tier. Hardware + initial setup + monthly recurring per Standards.</w:t>
            </w:r>
          </w:p>
        </w:tc>
        <w:tc>
          <w:tcPr>
            <w:tcW w:type="dxa" w:w="129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ADD</w:t>
            </w:r>
          </w:p>
        </w:tc>
        <w:tc>
          <w:tcPr>
            <w:tcW w:type="dxa" w:w="2160"/>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${{ALT_A1}}</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A2</w:t>
            </w:r>
          </w:p>
        </w:tc>
        <w:tc>
          <w:tcPr>
            <w:tcW w:type="dxa" w:w="590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Accelerated schedule — increased crew + overlapping phases to compress critical path</w:t>
            </w:r>
          </w:p>
        </w:tc>
        <w:tc>
          <w:tcPr>
            <w:tcW w:type="dxa" w:w="129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ADD</w:t>
            </w:r>
          </w:p>
        </w:tc>
        <w:tc>
          <w:tcPr>
            <w:tcW w:type="dxa" w:w="2160"/>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${{ALT_A2}}</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A3</w:t>
            </w:r>
          </w:p>
        </w:tc>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Performance &amp; payment bonding (100/100) — surety-issued bond cost</w:t>
            </w:r>
          </w:p>
        </w:tc>
        <w:tc>
          <w:tcPr>
            <w:tcW w:type="dxa" w:w="129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ADD</w:t>
            </w:r>
          </w:p>
        </w:tc>
        <w:tc>
          <w:tcPr>
            <w:tcW w:type="dxa" w:w="2160"/>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${{ALT_A3}}</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A4</w:t>
            </w:r>
          </w:p>
        </w:tc>
        <w:tc>
          <w:tcPr>
            <w:tcW w:type="dxa" w:w="590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{{ALT_A4_DESC}} — project-specific addition</w:t>
            </w:r>
          </w:p>
        </w:tc>
        <w:tc>
          <w:tcPr>
            <w:tcW w:type="dxa" w:w="129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ADD</w:t>
            </w:r>
          </w:p>
        </w:tc>
        <w:tc>
          <w:tcPr>
            <w:tcW w:type="dxa" w:w="2160"/>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${{ALT_A4}}</w:t>
            </w:r>
          </w:p>
        </w:tc>
      </w:tr>
      <w:tr>
        <w:trPr>
          <w:cantSplit/>
        </w:trPr>
        <w:tc>
          <w:tcPr>
            <w:tcW w:type="dxa" w:w="57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D1</w:t>
            </w:r>
          </w:p>
        </w:tc>
        <w:tc>
          <w:tcPr>
            <w:tcW w:type="dxa" w:w="590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Weekend + after-hours scheduling — GCC labor-surplus credit passed to GC (DEDUCT, not premium)</w:t>
            </w:r>
          </w:p>
        </w:tc>
        <w:tc>
          <w:tcPr>
            <w:tcW w:type="dxa" w:w="1296"/>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DEDUCT</w:t>
            </w:r>
          </w:p>
        </w:tc>
        <w:tc>
          <w:tcPr>
            <w:tcW w:type="dxa" w:w="2160"/>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$({{ALT_D1}})</w:t>
            </w:r>
          </w:p>
        </w:tc>
      </w:tr>
      <w:tr>
        <w:trPr>
          <w:cantSplit/>
        </w:trPr>
        <w:tc>
          <w:tcPr>
            <w:tcW w:type="dxa" w:w="57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D2</w:t>
            </w:r>
          </w:p>
        </w:tc>
        <w:tc>
          <w:tcPr>
            <w:tcW w:type="dxa" w:w="590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{{ALT_D2_DESC}} — project-specific deduction</w:t>
            </w:r>
          </w:p>
        </w:tc>
        <w:tc>
          <w:tcPr>
            <w:tcW w:type="dxa" w:w="1296"/>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DEDUCT</w:t>
            </w:r>
          </w:p>
        </w:tc>
        <w:tc>
          <w:tcPr>
            <w:tcW w:type="dxa" w:w="2160"/>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$({{ALT_D2}})</w:t>
            </w:r>
          </w:p>
        </w:tc>
      </w:tr>
    </w:tbl>
    <w:p>
      <w:pPr>
        <w:spacing w:after="120"/>
      </w:pPr>
    </w:p>
    <w:p>
      <w:pPr>
        <w:keepNext/>
        <w:pageBreakBefore/>
        <w:spacing w:before="0" w:after="80"/>
      </w:pPr>
      <w:r>
        <w:rPr>
          <w:rFonts w:ascii="Calibri" w:hAnsi="Calibri"/>
          <w:b/>
          <w:color w:val="2E7D32"/>
          <w:sz w:val="32"/>
        </w:rPr>
        <w:t>5.  Unit Prices</w:t>
      </w:r>
    </w:p>
    <w:p>
      <w:pPr>
        <w:keepNext/>
        <w:spacing w:before="0" w:after="200"/>
        <w:pBdr>
          <w:bottom w:val="single" w:sz="8" w:color="2E7D32"/>
        </w:pBdr>
      </w:pPr>
    </w:p>
    <w:p>
      <w:pPr>
        <w:keepNext/>
        <w:spacing w:after="200"/>
      </w:pPr>
      <w:r>
        <w:rPr>
          <w:rFonts w:ascii="Calibri" w:hAnsi="Calibri"/>
          <w:b w:val="0"/>
          <w:i w:val="0"/>
          <w:color w:val="455A64"/>
          <w:sz w:val="20"/>
        </w:rPr>
        <w:t>Unit prices apply to add/deduct scope changes issued post-award. Each change order is minimum $500 and delivered within 5 business days of field-confirmed scope change.</w:t>
      </w:r>
    </w:p>
    <w:tbl>
      <w:tblPr>
        <w:tblW w:type="auto" w:w="0"/>
        <w:tblLayout w:type="fixed"/>
        <w:tblLook w:firstColumn="1" w:firstRow="1" w:lastColumn="0" w:lastRow="0" w:noHBand="0" w:noVBand="1" w:val="04A0"/>
      </w:tblPr>
      <w:tblGrid>
        <w:gridCol w:w="792"/>
        <w:gridCol w:w="5544"/>
        <w:gridCol w:w="1584"/>
        <w:gridCol w:w="2016"/>
      </w:tblGrid>
      <w:tr>
        <w:trPr>
          <w:cantSplit/>
          <w:tblHeader/>
        </w:trPr>
        <w:tc>
          <w:tcPr>
            <w:tcW w:type="dxa" w:w="792"/>
            <w:shd w:val="clear" w:color="auto" w:fill="2E7D32"/>
            <w:tcBorders>
              <w:top w:val="single" w:sz="4" w:color="455A64"/>
              <w:left w:val="single" w:sz="4" w:color="455A64"/>
              <w:bottom w:val="single" w:sz="4" w:color="455A64"/>
              <w:right w:val="single" w:sz="4" w:color="455A64"/>
            </w:tcBorders>
            <w:vAlign w:val="center"/>
          </w:tcPr>
          <w:p>
            <w:pPr>
              <w:jc w:val="center"/>
            </w:pPr>
            <w:r>
              <w:rPr>
                <w:rFonts w:ascii="Calibri" w:hAnsi="Calibri"/>
                <w:b/>
                <w:color w:val="FFFFFF"/>
                <w:sz w:val="20"/>
              </w:rPr>
              <w:t>#</w:t>
            </w:r>
          </w:p>
        </w:tc>
        <w:tc>
          <w:tcPr>
            <w:tcW w:type="dxa" w:w="5544"/>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Description</w:t>
            </w:r>
          </w:p>
        </w:tc>
        <w:tc>
          <w:tcPr>
            <w:tcW w:type="dxa" w:w="1584"/>
            <w:shd w:val="clear" w:color="auto" w:fill="2E7D32"/>
            <w:tcBorders>
              <w:top w:val="single" w:sz="4" w:color="455A64"/>
              <w:left w:val="single" w:sz="4" w:color="455A64"/>
              <w:bottom w:val="single" w:sz="4" w:color="455A64"/>
              <w:right w:val="single" w:sz="4" w:color="455A64"/>
            </w:tcBorders>
            <w:vAlign w:val="center"/>
          </w:tcPr>
          <w:p>
            <w:pPr>
              <w:jc w:val="center"/>
            </w:pPr>
            <w:r>
              <w:rPr>
                <w:rFonts w:ascii="Calibri" w:hAnsi="Calibri"/>
                <w:b/>
                <w:color w:val="FFFFFF"/>
                <w:sz w:val="20"/>
              </w:rPr>
              <w:t>Unit</w:t>
            </w:r>
          </w:p>
        </w:tc>
        <w:tc>
          <w:tcPr>
            <w:tcW w:type="dxa" w:w="2016"/>
            <w:shd w:val="clear" w:color="auto" w:fill="2E7D32"/>
            <w:tcBorders>
              <w:top w:val="single" w:sz="4" w:color="455A64"/>
              <w:left w:val="single" w:sz="4" w:color="455A64"/>
              <w:bottom w:val="single" w:sz="4" w:color="455A64"/>
              <w:right w:val="single" w:sz="4" w:color="455A64"/>
            </w:tcBorders>
            <w:vAlign w:val="center"/>
          </w:tcPr>
          <w:p>
            <w:pPr>
              <w:jc w:val="right"/>
            </w:pPr>
            <w:r>
              <w:rPr>
                <w:rFonts w:ascii="Calibri" w:hAnsi="Calibri"/>
                <w:b/>
                <w:color w:val="FFFFFF"/>
                <w:sz w:val="20"/>
              </w:rPr>
              <w:t>Rate</w:t>
            </w:r>
          </w:p>
        </w:tc>
      </w:tr>
      <w:tr>
        <w:trPr>
          <w:cantSplit/>
        </w:trPr>
        <w:tc>
          <w:tcPr>
            <w:tcW w:type="dxa" w:w="79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U1</w:t>
            </w:r>
          </w:p>
        </w:tc>
        <w:tc>
          <w:tcPr>
            <w:tcW w:type="dxa" w:w="554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Cat6A plenum drop — installed, terminated both ends, certified, labeled</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drop</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${{UNIT_U1}}</w:t>
            </w:r>
          </w:p>
        </w:tc>
      </w:tr>
      <w:tr>
        <w:trPr>
          <w:cantSplit/>
        </w:trPr>
        <w:tc>
          <w:tcPr>
            <w:tcW w:type="dxa" w:w="79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U2</w:t>
            </w:r>
          </w:p>
        </w:tc>
        <w:tc>
          <w:tcPr>
            <w:tcW w:type="dxa" w:w="554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Voice drop (Cat6A plenum) — installed, terminated, tested</w:t>
            </w:r>
          </w:p>
        </w:tc>
        <w:tc>
          <w:tcPr>
            <w:tcW w:type="dxa" w:w="1584"/>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drop</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${{UNIT_U2}}</w:t>
            </w:r>
          </w:p>
        </w:tc>
      </w:tr>
      <w:tr>
        <w:trPr>
          <w:cantSplit/>
        </w:trPr>
        <w:tc>
          <w:tcPr>
            <w:tcW w:type="dxa" w:w="79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U3</w:t>
            </w:r>
          </w:p>
        </w:tc>
        <w:tc>
          <w:tcPr>
            <w:tcW w:type="dxa" w:w="554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Fiber strand termination (SC/LC fusion) — labor only</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strand</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${{UNIT_U3}}</w:t>
            </w:r>
          </w:p>
        </w:tc>
      </w:tr>
      <w:tr>
        <w:trPr>
          <w:cantSplit/>
        </w:trPr>
        <w:tc>
          <w:tcPr>
            <w:tcW w:type="dxa" w:w="79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U4</w:t>
            </w:r>
          </w:p>
        </w:tc>
        <w:tc>
          <w:tcPr>
            <w:tcW w:type="dxa" w:w="554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IP camera install — ceiling mount, aim, test, label (OFCI)</w:t>
            </w:r>
          </w:p>
        </w:tc>
        <w:tc>
          <w:tcPr>
            <w:tcW w:type="dxa" w:w="1584"/>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device</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${{UNIT_U4}}</w:t>
            </w:r>
          </w:p>
        </w:tc>
      </w:tr>
      <w:tr>
        <w:trPr>
          <w:cantSplit/>
        </w:trPr>
        <w:tc>
          <w:tcPr>
            <w:tcW w:type="dxa" w:w="79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U5</w:t>
            </w:r>
          </w:p>
        </w:tc>
        <w:tc>
          <w:tcPr>
            <w:tcW w:type="dxa" w:w="554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WAP install — ceiling mount, plate, commission (OFCI)</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device</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${{UNIT_U5}}</w:t>
            </w:r>
          </w:p>
        </w:tc>
      </w:tr>
      <w:tr>
        <w:trPr>
          <w:cantSplit/>
        </w:trPr>
        <w:tc>
          <w:tcPr>
            <w:tcW w:type="dxa" w:w="79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U6</w:t>
            </w:r>
          </w:p>
        </w:tc>
        <w:tc>
          <w:tcPr>
            <w:tcW w:type="dxa" w:w="554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ACS reader install — wall mount, wire, terminate (OFCI)</w:t>
            </w:r>
          </w:p>
        </w:tc>
        <w:tc>
          <w:tcPr>
            <w:tcW w:type="dxa" w:w="1584"/>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device</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${{UNIT_U6}}</w:t>
            </w:r>
          </w:p>
        </w:tc>
      </w:tr>
      <w:tr>
        <w:trPr>
          <w:cantSplit/>
        </w:trPr>
        <w:tc>
          <w:tcPr>
            <w:tcW w:type="dxa" w:w="79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U7</w:t>
            </w:r>
          </w:p>
        </w:tc>
        <w:tc>
          <w:tcPr>
            <w:tcW w:type="dxa" w:w="554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Firestop penetration beyond allowance (where in GCC scope)</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each</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${{UNIT_U7}}</w:t>
            </w:r>
          </w:p>
        </w:tc>
      </w:tr>
      <w:tr>
        <w:trPr>
          <w:cantSplit/>
        </w:trPr>
        <w:tc>
          <w:tcPr>
            <w:tcW w:type="dxa" w:w="79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U8</w:t>
            </w:r>
          </w:p>
        </w:tc>
        <w:tc>
          <w:tcPr>
            <w:tcW w:type="dxa" w:w="554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Patch panel port — punchdown + label</w:t>
            </w:r>
          </w:p>
        </w:tc>
        <w:tc>
          <w:tcPr>
            <w:tcW w:type="dxa" w:w="1584"/>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port</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${{UNIT_U8}}</w:t>
            </w:r>
          </w:p>
        </w:tc>
      </w:tr>
      <w:tr>
        <w:trPr>
          <w:cantSplit/>
        </w:trPr>
        <w:tc>
          <w:tcPr>
            <w:tcW w:type="dxa" w:w="792"/>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U9</w:t>
            </w:r>
          </w:p>
        </w:tc>
        <w:tc>
          <w:tcPr>
            <w:tcW w:type="dxa" w:w="554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Additional mobilization / remobilization</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each</w:t>
            </w:r>
          </w:p>
        </w:tc>
        <w:tc>
          <w:tcPr>
            <w:tcW w:type="dxa" w:w="2016"/>
            <w:shd w:val="clear" w:color="auto" w:fill="F1F8F1"/>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${{UNIT_U9}}</w:t>
            </w:r>
          </w:p>
        </w:tc>
      </w:tr>
      <w:tr>
        <w:trPr>
          <w:cantSplit/>
        </w:trPr>
        <w:tc>
          <w:tcPr>
            <w:tcW w:type="dxa" w:w="792"/>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U10</w:t>
            </w:r>
          </w:p>
        </w:tc>
        <w:tc>
          <w:tcPr>
            <w:tcW w:type="dxa" w:w="554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Change-order labor (T&amp;M)</w:t>
            </w:r>
          </w:p>
        </w:tc>
        <w:tc>
          <w:tcPr>
            <w:tcW w:type="dxa" w:w="1584"/>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per hour</w:t>
            </w:r>
          </w:p>
        </w:tc>
        <w:tc>
          <w:tcPr>
            <w:tcW w:type="dxa" w:w="2016"/>
            <w:tcBorders>
              <w:top w:val="single" w:sz="4" w:color="455A64"/>
              <w:left w:val="single" w:sz="4" w:color="455A64"/>
              <w:bottom w:val="single" w:sz="4" w:color="455A64"/>
              <w:right w:val="single" w:sz="4" w:color="455A64"/>
            </w:tcBorders>
            <w:vAlign w:val="center"/>
          </w:tcPr>
          <w:p>
            <w:pPr>
              <w:jc w:val="right"/>
            </w:pPr>
            <w:r>
              <w:rPr>
                <w:rFonts w:ascii="Calibri" w:hAnsi="Calibri"/>
                <w:color w:val="455A64"/>
                <w:sz w:val="20"/>
              </w:rPr>
              <w:t>${{UNIT_U10}}</w:t>
            </w:r>
          </w:p>
        </w:tc>
      </w:tr>
    </w:tbl>
    <w:p>
      <w:pPr>
        <w:spacing w:after="120"/>
      </w:pPr>
    </w:p>
    <w:p>
      <w:pPr>
        <w:keepNext/>
        <w:pageBreakBefore/>
        <w:spacing w:before="0" w:after="80"/>
      </w:pPr>
      <w:r>
        <w:rPr>
          <w:rFonts w:ascii="Calibri" w:hAnsi="Calibri"/>
          <w:b/>
          <w:color w:val="2E7D32"/>
          <w:sz w:val="32"/>
        </w:rPr>
        <w:t>6.  Commercial Terms</w:t>
      </w:r>
    </w:p>
    <w:p>
      <w:pPr>
        <w:keepNext/>
        <w:spacing w:before="0" w:after="200"/>
        <w:pBdr>
          <w:bottom w:val="single" w:sz="8" w:color="2E7D32"/>
        </w:pBdr>
      </w:pPr>
    </w:p>
    <w:p>
      <w:pPr>
        <w:keepNext/>
        <w:spacing w:before="200" w:after="80"/>
      </w:pPr>
      <w:r>
        <w:rPr>
          <w:rFonts w:ascii="Calibri" w:hAnsi="Calibri"/>
          <w:b/>
          <w:color w:val="455A64"/>
          <w:sz w:val="22"/>
        </w:rPr>
        <w:t>Validity</w:t>
      </w:r>
    </w:p>
    <w:p>
      <w:pPr>
        <w:pStyle w:val="ListBullet"/>
        <w:spacing w:after="60"/>
      </w:pPr>
      <w:r>
        <w:rPr>
          <w:rFonts w:ascii="Calibri" w:hAnsi="Calibri"/>
          <w:b w:val="0"/>
          <w:color w:val="455A64"/>
          <w:sz w:val="20"/>
        </w:rPr>
        <w:t>Base Bid and all alternates firm-fixed for 30 days from the bid date.</w:t>
      </w:r>
    </w:p>
    <w:p>
      <w:pPr>
        <w:keepNext/>
        <w:spacing w:before="200" w:after="80"/>
      </w:pPr>
      <w:r>
        <w:rPr>
          <w:rFonts w:ascii="Calibri" w:hAnsi="Calibri"/>
          <w:b/>
          <w:color w:val="455A64"/>
          <w:sz w:val="22"/>
        </w:rPr>
        <w:t>Billing &amp; Payment</w:t>
      </w:r>
    </w:p>
    <w:p>
      <w:pPr>
        <w:pStyle w:val="ListBullet"/>
        <w:spacing w:after="60"/>
      </w:pPr>
      <w:r>
        <w:rPr>
          <w:rFonts w:ascii="Calibri" w:hAnsi="Calibri"/>
          <w:b w:val="0"/>
          <w:color w:val="455A64"/>
          <w:sz w:val="20"/>
        </w:rPr>
        <w:t>Billing: monthly on work performed, certified against the Schedule of Values in §2, supported by daily labor sheets and material receiving logs.</w:t>
      </w:r>
    </w:p>
    <w:p>
      <w:pPr>
        <w:pStyle w:val="ListBullet"/>
        <w:spacing w:after="60"/>
      </w:pPr>
      <w:r>
        <w:rPr>
          <w:rFonts w:ascii="Calibri" w:hAnsi="Calibri"/>
          <w:b w:val="0"/>
          <w:color w:val="455A64"/>
          <w:sz w:val="20"/>
        </w:rPr>
        <w:t>Pay-application cut-off: 25th of each month; GC approval within 10 business days; GCC invoice issued within 3 business days of approval.</w:t>
      </w:r>
    </w:p>
    <w:p>
      <w:pPr>
        <w:pStyle w:val="ListBullet"/>
        <w:spacing w:after="60"/>
      </w:pPr>
      <w:r>
        <w:rPr>
          <w:rFonts w:ascii="Calibri" w:hAnsi="Calibri"/>
          <w:b w:val="0"/>
          <w:color w:val="455A64"/>
          <w:sz w:val="20"/>
        </w:rPr>
        <w:t>Payment terms: Net 30 from GC approval of GCC's pay application.</w:t>
      </w:r>
    </w:p>
    <w:p>
      <w:pPr>
        <w:pStyle w:val="ListBullet"/>
        <w:spacing w:after="60"/>
      </w:pPr>
      <w:r>
        <w:rPr>
          <w:rFonts w:ascii="Calibri" w:hAnsi="Calibri"/>
          <w:b w:val="0"/>
          <w:color w:val="455A64"/>
          <w:sz w:val="20"/>
        </w:rPr>
        <w:t>Retainage: 10% standard; reducible to 5% at 50% completion upon written request; released in full within 30 days of Substantial Completion and punch close.</w:t>
      </w:r>
    </w:p>
    <w:p>
      <w:pPr>
        <w:pStyle w:val="ListBullet"/>
        <w:spacing w:after="60"/>
      </w:pPr>
      <w:r>
        <w:rPr>
          <w:rFonts w:ascii="Calibri" w:hAnsi="Calibri"/>
          <w:b w:val="0"/>
          <w:color w:val="455A64"/>
          <w:sz w:val="20"/>
        </w:rPr>
        <w:t>Late fees: 1.5% per month (18% annualized) on balances outstanding beyond 30 days from approval date.</w:t>
      </w:r>
    </w:p>
    <w:p>
      <w:pPr>
        <w:pStyle w:val="ListBullet"/>
        <w:spacing w:after="60"/>
      </w:pPr>
      <w:r>
        <w:rPr>
          <w:rFonts w:ascii="Calibri" w:hAnsi="Calibri"/>
          <w:b w:val="0"/>
          <w:color w:val="455A64"/>
          <w:sz w:val="20"/>
        </w:rPr>
        <w:t>Payment methods: ACH preferred (no surcharge); corporate check accepted; credit card accepted with 3% processing surcharge.</w:t>
      </w:r>
    </w:p>
    <w:p>
      <w:pPr>
        <w:pStyle w:val="ListBullet"/>
        <w:spacing w:after="60"/>
      </w:pPr>
      <w:r>
        <w:rPr>
          <w:rFonts w:ascii="Calibri" w:hAnsi="Calibri"/>
          <w:b w:val="0"/>
          <w:color w:val="455A64"/>
          <w:sz w:val="20"/>
        </w:rPr>
        <w:t>Final payment: released upon delivery of closeout package (as-builts, LinkWare reports, warranty registration, lien waivers).</w:t>
      </w:r>
    </w:p>
    <w:p>
      <w:pPr>
        <w:keepNext/>
        <w:spacing w:before="200" w:after="80"/>
      </w:pPr>
      <w:r>
        <w:rPr>
          <w:rFonts w:ascii="Calibri" w:hAnsi="Calibri"/>
          <w:b/>
          <w:color w:val="455A64"/>
          <w:sz w:val="22"/>
        </w:rPr>
        <w:t>Milestone Billing — default schedule</w:t>
      </w:r>
    </w:p>
    <w:tbl>
      <w:tblPr>
        <w:tblW w:type="auto" w:w="0"/>
        <w:tblLayout w:type="fixed"/>
        <w:tblLook w:firstColumn="1" w:firstRow="1" w:lastColumn="0" w:lastRow="0" w:noHBand="0" w:noVBand="1" w:val="04A0"/>
      </w:tblPr>
      <w:tblGrid>
        <w:gridCol w:w="1440"/>
        <w:gridCol w:w="8496"/>
      </w:tblGrid>
      <w:tr>
        <w:trPr>
          <w:cantSplit/>
          <w:tblHeader/>
        </w:trPr>
        <w:tc>
          <w:tcPr>
            <w:tcW w:type="dxa" w:w="1440"/>
            <w:shd w:val="clear" w:color="auto" w:fill="2E7D32"/>
            <w:tcBorders>
              <w:top w:val="single" w:sz="4" w:color="455A64"/>
              <w:left w:val="single" w:sz="4" w:color="455A64"/>
              <w:bottom w:val="single" w:sz="4" w:color="455A64"/>
              <w:right w:val="single" w:sz="4" w:color="455A64"/>
            </w:tcBorders>
            <w:vAlign w:val="center"/>
          </w:tcPr>
          <w:p>
            <w:pPr>
              <w:jc w:val="center"/>
            </w:pPr>
            <w:r>
              <w:rPr>
                <w:rFonts w:ascii="Calibri" w:hAnsi="Calibri"/>
                <w:b/>
                <w:color w:val="FFFFFF"/>
                <w:sz w:val="20"/>
              </w:rPr>
              <w:t>% of Base</w:t>
            </w:r>
          </w:p>
        </w:tc>
        <w:tc>
          <w:tcPr>
            <w:tcW w:type="dxa" w:w="8496"/>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Milestone</w:t>
            </w:r>
          </w:p>
        </w:tc>
      </w:tr>
      <w:tr>
        <w:trPr>
          <w:cantSplit/>
        </w:trPr>
        <w:tc>
          <w:tcPr>
            <w:tcW w:type="dxa" w:w="1440"/>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10%</w:t>
            </w:r>
          </w:p>
        </w:tc>
        <w:tc>
          <w:tcPr>
            <w:tcW w:type="dxa" w:w="849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Mobilization — kickoff meeting, site orientation, safety plan acknowledged</w:t>
            </w:r>
          </w:p>
        </w:tc>
      </w:tr>
      <w:tr>
        <w:trPr>
          <w:cantSplit/>
        </w:trPr>
        <w:tc>
          <w:tcPr>
            <w:tcW w:type="dxa" w:w="1440"/>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30%</w:t>
            </w:r>
          </w:p>
        </w:tc>
        <w:tc>
          <w:tcPr>
            <w:tcW w:type="dxa" w:w="849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Rough-in — pathway dressed, horizontal cable pulled, labels staged</w:t>
            </w:r>
          </w:p>
        </w:tc>
      </w:tr>
      <w:tr>
        <w:trPr>
          <w:cantSplit/>
        </w:trPr>
        <w:tc>
          <w:tcPr>
            <w:tcW w:type="dxa" w:w="1440"/>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30%</w:t>
            </w:r>
          </w:p>
        </w:tc>
        <w:tc>
          <w:tcPr>
            <w:tcW w:type="dxa" w:w="849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Trim-out — terminations complete, devices mounted, patch panels dressed</w:t>
            </w:r>
          </w:p>
        </w:tc>
      </w:tr>
      <w:tr>
        <w:trPr>
          <w:cantSplit/>
        </w:trPr>
        <w:tc>
          <w:tcPr>
            <w:tcW w:type="dxa" w:w="1440"/>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20%</w:t>
            </w:r>
          </w:p>
        </w:tc>
        <w:tc>
          <w:tcPr>
            <w:tcW w:type="dxa" w:w="849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Testing — every drop certified with Fluke DSX-8000; LinkWare reports issued</w:t>
            </w:r>
          </w:p>
        </w:tc>
      </w:tr>
      <w:tr>
        <w:trPr>
          <w:cantSplit/>
        </w:trPr>
        <w:tc>
          <w:tcPr>
            <w:tcW w:type="dxa" w:w="1440"/>
            <w:shd w:val="clear" w:color="auto" w:fill="F1F8F1"/>
            <w:tcBorders>
              <w:top w:val="single" w:sz="4" w:color="455A64"/>
              <w:left w:val="single" w:sz="4" w:color="455A64"/>
              <w:bottom w:val="single" w:sz="4" w:color="455A64"/>
              <w:right w:val="single" w:sz="4" w:color="455A64"/>
            </w:tcBorders>
            <w:vAlign w:val="center"/>
          </w:tcPr>
          <w:p>
            <w:pPr>
              <w:jc w:val="center"/>
            </w:pPr>
            <w:r>
              <w:rPr>
                <w:rFonts w:ascii="Calibri" w:hAnsi="Calibri"/>
                <w:color w:val="455A64"/>
                <w:sz w:val="20"/>
              </w:rPr>
              <w:t>10%</w:t>
            </w:r>
          </w:p>
        </w:tc>
        <w:tc>
          <w:tcPr>
            <w:tcW w:type="dxa" w:w="849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Closeout — As-built documentation, training if included, punch closed</w:t>
            </w:r>
          </w:p>
        </w:tc>
      </w:tr>
    </w:tbl>
    <w:p>
      <w:pPr>
        <w:spacing w:after="120"/>
      </w:pPr>
    </w:p>
    <w:p>
      <w:pPr>
        <w:keepNext/>
        <w:spacing w:before="200" w:after="80"/>
      </w:pPr>
      <w:r>
        <w:rPr>
          <w:rFonts w:ascii="Calibri" w:hAnsi="Calibri"/>
          <w:b/>
          <w:color w:val="455A64"/>
          <w:sz w:val="22"/>
        </w:rPr>
        <w:t>Change Orders</w:t>
      </w:r>
    </w:p>
    <w:p>
      <w:pPr>
        <w:pStyle w:val="ListBullet"/>
        <w:spacing w:after="60"/>
      </w:pPr>
      <w:r>
        <w:rPr>
          <w:rFonts w:ascii="Calibri" w:hAnsi="Calibri"/>
          <w:b w:val="0"/>
          <w:color w:val="455A64"/>
          <w:sz w:val="20"/>
        </w:rPr>
        <w:t>All scope modifications documented in a written Change Order signed by both parties before out-of-scope work proceeds.</w:t>
      </w:r>
    </w:p>
    <w:p>
      <w:pPr>
        <w:pStyle w:val="ListBullet"/>
        <w:spacing w:after="60"/>
      </w:pPr>
      <w:r>
        <w:rPr>
          <w:rFonts w:ascii="Calibri" w:hAnsi="Calibri"/>
          <w:b w:val="0"/>
          <w:color w:val="455A64"/>
          <w:sz w:val="20"/>
        </w:rPr>
        <w:t>Pricing hierarchy: (1) Unit Prices in §5 where applicable, (2) T&amp;M at $100/hr billed labor rate + materials at quoted cost + GCC markup, (3) mutually negotiated lump sum for complex changes.</w:t>
      </w:r>
    </w:p>
    <w:p>
      <w:pPr>
        <w:pStyle w:val="ListBullet"/>
        <w:spacing w:after="60"/>
      </w:pPr>
      <w:r>
        <w:rPr>
          <w:rFonts w:ascii="Calibri" w:hAnsi="Calibri"/>
          <w:b w:val="0"/>
          <w:color w:val="455A64"/>
          <w:sz w:val="20"/>
        </w:rPr>
        <w:t>Minimum $500 per Change Order.</w:t>
      </w:r>
    </w:p>
    <w:p>
      <w:pPr>
        <w:pStyle w:val="ListBullet"/>
        <w:spacing w:after="60"/>
      </w:pPr>
      <w:r>
        <w:rPr>
          <w:rFonts w:ascii="Calibri" w:hAnsi="Calibri"/>
          <w:b w:val="0"/>
          <w:color w:val="455A64"/>
          <w:sz w:val="20"/>
        </w:rPr>
        <w:t>Proposal delivered within 5 business days of field-confirmed scope change.</w:t>
      </w:r>
    </w:p>
    <w:p>
      <w:pPr>
        <w:pStyle w:val="ListBullet"/>
        <w:spacing w:after="60"/>
      </w:pPr>
      <w:r>
        <w:rPr>
          <w:rFonts w:ascii="Calibri" w:hAnsi="Calibri"/>
          <w:b w:val="0"/>
          <w:color w:val="455A64"/>
          <w:sz w:val="20"/>
        </w:rPr>
        <w:t>Schedule impact, if any, documented in the Change Order and approved by GC concurrent with price acceptance.</w:t>
      </w:r>
    </w:p>
    <w:p>
      <w:pPr>
        <w:pStyle w:val="ListBullet"/>
        <w:spacing w:after="60"/>
      </w:pPr>
      <w:r>
        <w:rPr>
          <w:rFonts w:ascii="Calibri" w:hAnsi="Calibri"/>
          <w:b w:val="0"/>
          <w:color w:val="455A64"/>
          <w:sz w:val="20"/>
        </w:rPr>
        <w:t>Materials markup is standard GCC business practice; disclosed only at the resulting line-item rate in the Change Order itself.</w:t>
      </w:r>
    </w:p>
    <w:p>
      <w:pPr>
        <w:pStyle w:val="ListBullet"/>
        <w:spacing w:after="60"/>
      </w:pPr>
      <w:r>
        <w:rPr>
          <w:rFonts w:ascii="Calibri" w:hAnsi="Calibri"/>
          <w:b w:val="0"/>
          <w:color w:val="455A64"/>
          <w:sz w:val="20"/>
        </w:rPr>
        <w:t>Emergency work authorized verbally by GC superintendent is honored; written CO issued within 2 business days of event.</w:t>
      </w:r>
    </w:p>
    <w:p>
      <w:pPr>
        <w:keepNext/>
        <w:spacing w:before="200" w:after="80"/>
      </w:pPr>
      <w:r>
        <w:rPr>
          <w:rFonts w:ascii="Calibri" w:hAnsi="Calibri"/>
          <w:b/>
          <w:color w:val="455A64"/>
          <w:sz w:val="22"/>
        </w:rPr>
        <w:t>Schedule Modes</w:t>
      </w:r>
    </w:p>
    <w:p>
      <w:pPr>
        <w:pStyle w:val="ListBullet"/>
        <w:spacing w:after="60"/>
      </w:pPr>
      <w:r>
        <w:rPr>
          <w:rFonts w:ascii="Calibri" w:hAnsi="Calibri"/>
          <w:b w:val="0"/>
          <w:color w:val="455A64"/>
          <w:sz w:val="20"/>
        </w:rPr>
        <w:t>Normal hours: baseline pricing — 7:00 a.m. to 5:00 p.m., Monday–Friday.</w:t>
      </w:r>
    </w:p>
    <w:p>
      <w:pPr>
        <w:pStyle w:val="ListBullet"/>
        <w:spacing w:after="60"/>
      </w:pPr>
      <w:r>
        <w:rPr>
          <w:rFonts w:ascii="Calibri" w:hAnsi="Calibri"/>
          <w:b w:val="0"/>
          <w:color w:val="455A64"/>
          <w:sz w:val="20"/>
        </w:rPr>
        <w:t>Weekend + after-hours scheduling: DEDUCT alternate per §4 (GCC labor-surplus credit passed to the GC).</w:t>
      </w:r>
    </w:p>
    <w:p>
      <w:pPr>
        <w:pStyle w:val="ListBullet"/>
        <w:spacing w:after="60"/>
      </w:pPr>
      <w:r>
        <w:rPr>
          <w:rFonts w:ascii="Calibri" w:hAnsi="Calibri"/>
          <w:b w:val="0"/>
          <w:color w:val="455A64"/>
          <w:sz w:val="20"/>
        </w:rPr>
        <w:t>Accelerated schedule (compressed timeline, overlapping phases): priced as ADD alternate per §4.</w:t>
      </w:r>
    </w:p>
    <w:p>
      <w:pPr>
        <w:pStyle w:val="ListBullet"/>
        <w:spacing w:after="60"/>
      </w:pPr>
      <w:r>
        <w:rPr>
          <w:rFonts w:ascii="Calibri" w:hAnsi="Calibri"/>
          <w:b w:val="0"/>
          <w:color w:val="455A64"/>
          <w:sz w:val="20"/>
        </w:rPr>
        <w:t>Phased construction: rolled into base when the bid documents explicitly show phasing; re-priced by Change Order if phasing is added post-award.</w:t>
      </w:r>
    </w:p>
    <w:p>
      <w:pPr>
        <w:pStyle w:val="ListBullet"/>
        <w:spacing w:after="60"/>
      </w:pPr>
      <w:r>
        <w:rPr>
          <w:rFonts w:ascii="Calibri" w:hAnsi="Calibri"/>
          <w:b w:val="0"/>
          <w:color w:val="455A64"/>
          <w:sz w:val="20"/>
        </w:rPr>
        <w:t>Liquidated damages: accepted only when explicitly disclosed in bid documents with a stated daily amount; never inferred, never rolled into base.</w:t>
      </w:r>
    </w:p>
    <w:p>
      <w:pPr>
        <w:keepNext/>
        <w:spacing w:before="200" w:after="80"/>
      </w:pPr>
      <w:r>
        <w:rPr>
          <w:rFonts w:ascii="Calibri" w:hAnsi="Calibri"/>
          <w:b/>
          <w:color w:val="455A64"/>
          <w:sz w:val="22"/>
        </w:rPr>
        <w:t>Conditions of Award</w:t>
      </w:r>
    </w:p>
    <w:p>
      <w:pPr>
        <w:keepNext/>
        <w:spacing w:after="80"/>
      </w:pPr>
      <w:r>
        <w:rPr>
          <w:rFonts w:ascii="Calibri" w:hAnsi="Calibri"/>
          <w:b w:val="0"/>
          <w:i w:val="0"/>
          <w:color w:val="455A64"/>
          <w:sz w:val="20"/>
        </w:rPr>
        <w:t>This Proposal is contingent upon the following before GCC mobilizes:</w:t>
      </w:r>
    </w:p>
    <w:p>
      <w:pPr>
        <w:pStyle w:val="ListBullet"/>
        <w:spacing w:after="60"/>
      </w:pPr>
      <w:r>
        <w:rPr>
          <w:rFonts w:ascii="Calibri" w:hAnsi="Calibri"/>
          <w:b w:val="0"/>
          <w:color w:val="455A64"/>
          <w:sz w:val="20"/>
        </w:rPr>
        <w:t>Execution of a mutually acceptable written subcontract agreement that references this Proposal Packet.</w:t>
      </w:r>
    </w:p>
    <w:p>
      <w:pPr>
        <w:pStyle w:val="ListBullet"/>
        <w:spacing w:after="60"/>
      </w:pPr>
      <w:r>
        <w:rPr>
          <w:rFonts w:ascii="Calibri" w:hAnsi="Calibri"/>
          <w:b w:val="0"/>
          <w:color w:val="455A64"/>
          <w:sz w:val="20"/>
        </w:rPr>
        <w:t>GC-issued Notice to Proceed with agreed mobilization date.</w:t>
      </w:r>
    </w:p>
    <w:p>
      <w:pPr>
        <w:pStyle w:val="ListBullet"/>
        <w:spacing w:after="60"/>
      </w:pPr>
      <w:r>
        <w:rPr>
          <w:rFonts w:ascii="Calibri" w:hAnsi="Calibri"/>
          <w:b w:val="0"/>
          <w:color w:val="455A64"/>
          <w:sz w:val="20"/>
        </w:rPr>
        <w:t>Receipt of the final plan + spec set, including all addenda issued post-bid, identical to the set this Proposal is predicated on.</w:t>
      </w:r>
    </w:p>
    <w:p>
      <w:pPr>
        <w:pStyle w:val="ListBullet"/>
        <w:spacing w:after="60"/>
      </w:pPr>
      <w:r>
        <w:rPr>
          <w:rFonts w:ascii="Calibri" w:hAnsi="Calibri"/>
          <w:b w:val="0"/>
          <w:color w:val="455A64"/>
          <w:sz w:val="20"/>
        </w:rPr>
        <w:t>Certificate of Insurance issued by GCC to GC and owner, naming GC and owner as Additional Insured where required.</w:t>
      </w:r>
    </w:p>
    <w:p>
      <w:pPr>
        <w:pStyle w:val="ListBullet"/>
        <w:spacing w:after="60"/>
      </w:pPr>
      <w:r>
        <w:rPr>
          <w:rFonts w:ascii="Calibri" w:hAnsi="Calibri"/>
          <w:b w:val="0"/>
          <w:color w:val="455A64"/>
          <w:sz w:val="20"/>
        </w:rPr>
        <w:t>Payment and Performance Bond (if required) issued within 10 business days of award — bond cost priced as alternate per §4.</w:t>
      </w:r>
    </w:p>
    <w:p>
      <w:pPr>
        <w:pStyle w:val="ListBullet"/>
        <w:spacing w:after="60"/>
      </w:pPr>
      <w:r>
        <w:rPr>
          <w:rFonts w:ascii="Calibri" w:hAnsi="Calibri"/>
          <w:b w:val="0"/>
          <w:color w:val="455A64"/>
          <w:sz w:val="20"/>
        </w:rPr>
        <w:t>Site access, secure material staging area, and functional power/HVAC to telecom rooms available per the SOW §5 Assumptions.</w:t>
      </w:r>
    </w:p>
    <w:p>
      <w:pPr>
        <w:pStyle w:val="ListBullet"/>
        <w:spacing w:after="60"/>
      </w:pPr>
      <w:r>
        <w:rPr>
          <w:rFonts w:ascii="Calibri" w:hAnsi="Calibri"/>
          <w:b w:val="0"/>
          <w:color w:val="455A64"/>
          <w:sz w:val="20"/>
        </w:rPr>
        <w:t>All prior addenda, RFI responses, and substitution approvals delivered in writing to GCC prior to mobilization.</w:t>
      </w:r>
    </w:p>
    <w:p>
      <w:pPr>
        <w:keepNext/>
        <w:spacing w:before="200" w:after="80"/>
      </w:pPr>
      <w:r>
        <w:rPr>
          <w:rFonts w:ascii="Calibri" w:hAnsi="Calibri"/>
          <w:b/>
          <w:color w:val="455A64"/>
          <w:sz w:val="22"/>
        </w:rPr>
        <w:t>Warranty</w:t>
      </w:r>
    </w:p>
    <w:p>
      <w:pPr>
        <w:pStyle w:val="ListBullet"/>
        <w:spacing w:after="60"/>
      </w:pPr>
      <w:r>
        <w:rPr>
          <w:rFonts w:ascii="Calibri" w:hAnsi="Calibri"/>
          <w:b w:val="0"/>
          <w:color w:val="455A64"/>
          <w:sz w:val="20"/>
        </w:rPr>
        <w:t>Three-tier warranty per Standards §1 — (1) Lifetime GCC workmanship warranty, transferable with the property; (2) 5-year GCC-extended hardware coverage; (3) Manufacturer pass-through warranty on every supplied product.</w:t>
      </w:r>
    </w:p>
    <w:p>
      <w:pPr>
        <w:pStyle w:val="ListBullet"/>
        <w:spacing w:after="60"/>
      </w:pPr>
      <w:r>
        <w:rPr>
          <w:rFonts w:ascii="Calibri" w:hAnsi="Calibri"/>
          <w:b w:val="0"/>
          <w:color w:val="455A64"/>
          <w:sz w:val="20"/>
        </w:rPr>
        <w:t>Warranty period begins at Substantial Completion and owner acceptance; Tier 1 and Tier 2 coverage extend for the period stated regardless of subsequent re-sale of the property.</w:t>
      </w:r>
    </w:p>
    <w:p>
      <w:pPr>
        <w:pStyle w:val="ListBullet"/>
        <w:spacing w:after="60"/>
      </w:pPr>
      <w:r>
        <w:rPr>
          <w:rFonts w:ascii="Calibri" w:hAnsi="Calibri"/>
          <w:b w:val="0"/>
          <w:color w:val="455A64"/>
          <w:sz w:val="20"/>
        </w:rPr>
        <w:t>GCC responds to covered warranty requests within 2 business days; on-site service within 5 business days of acknowledgment.</w:t>
      </w:r>
    </w:p>
    <w:p>
      <w:pPr>
        <w:pStyle w:val="ListBullet"/>
        <w:spacing w:after="60"/>
      </w:pPr>
      <w:r>
        <w:rPr>
          <w:rFonts w:ascii="Calibri" w:hAnsi="Calibri"/>
          <w:b w:val="0"/>
          <w:color w:val="455A64"/>
          <w:sz w:val="20"/>
        </w:rPr>
        <w:t>Excluded from warranty: damage from abuse, alteration by others, unrelated building failures (roof leak, HVAC flood, structural movement), acts of God.</w:t>
      </w:r>
    </w:p>
    <w:p>
      <w:pPr>
        <w:keepNext/>
        <w:spacing w:before="200" w:after="80"/>
      </w:pPr>
      <w:r>
        <w:rPr>
          <w:rFonts w:ascii="Calibri" w:hAnsi="Calibri"/>
          <w:b/>
          <w:color w:val="455A64"/>
          <w:sz w:val="22"/>
        </w:rPr>
        <w:t>Insurance &amp; Bonding</w:t>
      </w:r>
    </w:p>
    <w:p>
      <w:pPr>
        <w:pStyle w:val="ListBullet"/>
        <w:spacing w:after="60"/>
      </w:pPr>
      <w:r>
        <w:rPr>
          <w:rFonts w:ascii="Calibri" w:hAnsi="Calibri"/>
          <w:b w:val="0"/>
          <w:color w:val="455A64"/>
          <w:sz w:val="20"/>
        </w:rPr>
        <w:t>Coverage limits, carriers, and COI detail: see Qualifications §4.</w:t>
      </w:r>
    </w:p>
    <w:p>
      <w:pPr>
        <w:pStyle w:val="ListBullet"/>
        <w:spacing w:after="60"/>
      </w:pPr>
      <w:r>
        <w:rPr>
          <w:rFonts w:ascii="Calibri" w:hAnsi="Calibri"/>
          <w:b w:val="0"/>
          <w:color w:val="455A64"/>
          <w:sz w:val="20"/>
        </w:rPr>
        <w:t>Waiver of subrogation and primary/non-contributory endorsements available on request.</w:t>
      </w:r>
    </w:p>
    <w:p>
      <w:pPr>
        <w:pStyle w:val="ListBullet"/>
        <w:spacing w:after="60"/>
      </w:pPr>
      <w:r>
        <w:rPr>
          <w:rFonts w:ascii="Calibri" w:hAnsi="Calibri"/>
          <w:b w:val="0"/>
          <w:color w:val="455A64"/>
          <w:sz w:val="20"/>
        </w:rPr>
        <w:t>Bonding (performance / payment): priced as alternate per §4 when the project requires it. Bond cost disclosed at surety issuance.</w:t>
      </w:r>
    </w:p>
    <w:p>
      <w:pPr>
        <w:pStyle w:val="ListBullet"/>
        <w:spacing w:after="60"/>
      </w:pPr>
      <w:r>
        <w:rPr>
          <w:rFonts w:ascii="Calibri" w:hAnsi="Calibri"/>
          <w:b w:val="0"/>
          <w:color w:val="455A64"/>
          <w:sz w:val="20"/>
        </w:rPr>
        <w:t>Builder's Risk: carried by the GC or owner per industry practice; GCC will cooperate in any claim relating to GCC scope.</w:t>
      </w:r>
    </w:p>
    <w:p>
      <w:pPr>
        <w:keepNext/>
        <w:spacing w:before="200" w:after="80"/>
      </w:pPr>
      <w:r>
        <w:rPr>
          <w:rFonts w:ascii="Calibri" w:hAnsi="Calibri"/>
          <w:b/>
          <w:color w:val="455A64"/>
          <w:sz w:val="22"/>
        </w:rPr>
        <w:t>Risk, Liability &amp; Indemnification</w:t>
      </w:r>
    </w:p>
    <w:p>
      <w:pPr>
        <w:pStyle w:val="ListBullet"/>
        <w:spacing w:after="60"/>
      </w:pPr>
      <w:r>
        <w:rPr>
          <w:rFonts w:ascii="Calibri" w:hAnsi="Calibri"/>
          <w:b w:val="0"/>
          <w:color w:val="455A64"/>
          <w:sz w:val="20"/>
        </w:rPr>
        <w:t>Risk of loss on GCC-installed work transfers to the owner at Substantial Completion.</w:t>
      </w:r>
    </w:p>
    <w:p>
      <w:pPr>
        <w:pStyle w:val="ListBullet"/>
        <w:spacing w:after="60"/>
      </w:pPr>
      <w:r>
        <w:rPr>
          <w:rFonts w:ascii="Calibri" w:hAnsi="Calibri"/>
          <w:b w:val="0"/>
          <w:color w:val="455A64"/>
          <w:sz w:val="20"/>
        </w:rPr>
        <w:t>Title to materials transfers to the owner upon receipt of payment for those materials.</w:t>
      </w:r>
    </w:p>
    <w:p>
      <w:pPr>
        <w:pStyle w:val="ListBullet"/>
        <w:spacing w:after="60"/>
      </w:pPr>
      <w:r>
        <w:rPr>
          <w:rFonts w:ascii="Calibri" w:hAnsi="Calibri"/>
          <w:b w:val="0"/>
          <w:color w:val="455A64"/>
          <w:sz w:val="20"/>
        </w:rPr>
        <w:t>Comparative indemnification: each party indemnifies the other for claims arising from its own negligence or willful misconduct; no broad-form or sole-negligence indemnity is accepted without mutual execution.</w:t>
      </w:r>
    </w:p>
    <w:p>
      <w:pPr>
        <w:pStyle w:val="ListBullet"/>
        <w:spacing w:after="60"/>
      </w:pPr>
      <w:r>
        <w:rPr>
          <w:rFonts w:ascii="Calibri" w:hAnsi="Calibri"/>
          <w:b w:val="0"/>
          <w:color w:val="455A64"/>
          <w:sz w:val="20"/>
        </w:rPr>
        <w:t>Excluded damages: consequential, incidental, punitive, exemplary, special, lost profits, and lost business opportunities are excluded from GCC's liability under this Proposal and any resulting subcontract.</w:t>
      </w:r>
    </w:p>
    <w:p>
      <w:pPr>
        <w:pStyle w:val="ListBullet"/>
        <w:spacing w:after="60"/>
      </w:pPr>
      <w:r>
        <w:rPr>
          <w:rFonts w:ascii="Calibri" w:hAnsi="Calibri"/>
          <w:b w:val="0"/>
          <w:color w:val="455A64"/>
          <w:sz w:val="20"/>
        </w:rPr>
        <w:t>Aggregate liability cap: GCC's total aggregate liability is capped at the amount of the Base Bid (§1).</w:t>
      </w:r>
    </w:p>
    <w:p>
      <w:pPr>
        <w:pStyle w:val="ListBullet"/>
        <w:spacing w:after="60"/>
      </w:pPr>
      <w:r>
        <w:rPr>
          <w:rFonts w:ascii="Calibri" w:hAnsi="Calibri"/>
          <w:b w:val="0"/>
          <w:color w:val="455A64"/>
          <w:sz w:val="20"/>
        </w:rPr>
        <w:t>OSHA jobsite safety: GCC follows 29 CFR 1926; GC retains overall site safety jurisdiction.</w:t>
      </w:r>
    </w:p>
    <w:p>
      <w:pPr>
        <w:keepNext/>
        <w:spacing w:before="200" w:after="80"/>
      </w:pPr>
      <w:r>
        <w:rPr>
          <w:rFonts w:ascii="Calibri" w:hAnsi="Calibri"/>
          <w:b/>
          <w:color w:val="455A64"/>
          <w:sz w:val="22"/>
        </w:rPr>
        <w:t>Force Majeure</w:t>
      </w:r>
    </w:p>
    <w:p>
      <w:pPr>
        <w:pStyle w:val="ListBullet"/>
        <w:spacing w:after="60"/>
      </w:pPr>
      <w:r>
        <w:rPr>
          <w:rFonts w:ascii="Calibri" w:hAnsi="Calibri"/>
          <w:b w:val="0"/>
          <w:color w:val="455A64"/>
          <w:sz w:val="20"/>
        </w:rPr>
        <w:t>Neither party is liable for delay or non-performance caused by acts beyond reasonable control: acts of God, industry-wide labor strikes, government shutdown, pandemic, terrorism, natural disaster, transportation embargo, or supply-chain disruption affecting critical materials.</w:t>
      </w:r>
    </w:p>
    <w:p>
      <w:pPr>
        <w:pStyle w:val="ListBullet"/>
        <w:spacing w:after="60"/>
      </w:pPr>
      <w:r>
        <w:rPr>
          <w:rFonts w:ascii="Calibri" w:hAnsi="Calibri"/>
          <w:b w:val="0"/>
          <w:color w:val="455A64"/>
          <w:sz w:val="20"/>
        </w:rPr>
        <w:t>Substantial Completion date is extended by the duration of any Force Majeure event, plus reasonable remobilization time.</w:t>
      </w:r>
    </w:p>
    <w:p>
      <w:pPr>
        <w:pStyle w:val="ListBullet"/>
        <w:spacing w:after="60"/>
      </w:pPr>
      <w:r>
        <w:rPr>
          <w:rFonts w:ascii="Calibri" w:hAnsi="Calibri"/>
          <w:b w:val="0"/>
          <w:color w:val="455A64"/>
          <w:sz w:val="20"/>
        </w:rPr>
        <w:t>Force Majeure price relief available when documented material cost escalation exceeds 10% of affected line items.</w:t>
      </w:r>
    </w:p>
    <w:p>
      <w:pPr>
        <w:keepNext/>
        <w:spacing w:before="200" w:after="80"/>
      </w:pPr>
      <w:r>
        <w:rPr>
          <w:rFonts w:ascii="Calibri" w:hAnsi="Calibri"/>
          <w:b/>
          <w:color w:val="455A64"/>
          <w:sz w:val="22"/>
        </w:rPr>
        <w:t>Governing Law &amp; Venue</w:t>
      </w:r>
    </w:p>
    <w:p>
      <w:pPr>
        <w:pStyle w:val="ListBullet"/>
        <w:spacing w:after="60"/>
      </w:pPr>
      <w:r>
        <w:rPr>
          <w:rFonts w:ascii="Calibri" w:hAnsi="Calibri"/>
          <w:b w:val="0"/>
          <w:color w:val="455A64"/>
          <w:sz w:val="20"/>
        </w:rPr>
        <w:t>This Proposal and any resulting subcontract are governed by the laws of the State of Missouri, without regard to conflict-of-laws principles.</w:t>
      </w:r>
    </w:p>
    <w:p>
      <w:pPr>
        <w:pStyle w:val="ListBullet"/>
        <w:spacing w:after="60"/>
      </w:pPr>
      <w:r>
        <w:rPr>
          <w:rFonts w:ascii="Calibri" w:hAnsi="Calibri"/>
          <w:b w:val="0"/>
          <w:color w:val="455A64"/>
          <w:sz w:val="20"/>
        </w:rPr>
        <w:t>Venue for any formal proceeding: Jackson County, Missouri.</w:t>
      </w:r>
    </w:p>
    <w:p>
      <w:pPr>
        <w:pStyle w:val="ListBullet"/>
        <w:spacing w:after="60"/>
      </w:pPr>
      <w:r>
        <w:rPr>
          <w:rFonts w:ascii="Calibri" w:hAnsi="Calibri"/>
          <w:b w:val="0"/>
          <w:color w:val="455A64"/>
          <w:sz w:val="20"/>
        </w:rPr>
        <w:t>UN Convention on Contracts for the International Sale of Goods is expressly excluded.</w:t>
      </w:r>
    </w:p>
    <w:p>
      <w:pPr>
        <w:keepNext/>
        <w:spacing w:before="200" w:after="80"/>
      </w:pPr>
      <w:r>
        <w:rPr>
          <w:rFonts w:ascii="Calibri" w:hAnsi="Calibri"/>
          <w:b/>
          <w:color w:val="455A64"/>
          <w:sz w:val="22"/>
        </w:rPr>
        <w:t>Dispute Resolution</w:t>
      </w:r>
    </w:p>
    <w:p>
      <w:pPr>
        <w:pStyle w:val="ListBullet"/>
        <w:spacing w:after="60"/>
      </w:pPr>
      <w:r>
        <w:rPr>
          <w:rFonts w:ascii="Calibri" w:hAnsi="Calibri"/>
          <w:b w:val="0"/>
          <w:color w:val="455A64"/>
          <w:sz w:val="20"/>
        </w:rPr>
        <w:t>Tier 1 — Direct negotiation between principals within 30 calendar days of written notice of dispute.</w:t>
      </w:r>
    </w:p>
    <w:p>
      <w:pPr>
        <w:pStyle w:val="ListBullet"/>
        <w:spacing w:after="60"/>
      </w:pPr>
      <w:r>
        <w:rPr>
          <w:rFonts w:ascii="Calibri" w:hAnsi="Calibri"/>
          <w:b w:val="0"/>
          <w:color w:val="455A64"/>
          <w:sz w:val="20"/>
        </w:rPr>
        <w:t>Tier 2 — Non-binding mediation before a mutually-selected neutral within Missouri jurisdiction; each party bears its own mediator fees.</w:t>
      </w:r>
    </w:p>
    <w:p>
      <w:pPr>
        <w:pStyle w:val="ListBullet"/>
        <w:spacing w:after="60"/>
      </w:pPr>
      <w:r>
        <w:rPr>
          <w:rFonts w:ascii="Calibri" w:hAnsi="Calibri"/>
          <w:b w:val="0"/>
          <w:color w:val="455A64"/>
          <w:sz w:val="20"/>
        </w:rPr>
        <w:t>Tier 3 — Binding arbitration under AAA Construction Industry Arbitration Rules; award enforceable in any court of competent jurisdiction; prevailing party entitled to reasonable attorneys' fees and costs.</w:t>
      </w:r>
    </w:p>
    <w:p>
      <w:pPr>
        <w:pStyle w:val="ListBullet"/>
        <w:spacing w:after="60"/>
      </w:pPr>
      <w:r>
        <w:rPr>
          <w:rFonts w:ascii="Calibri" w:hAnsi="Calibri"/>
          <w:b w:val="0"/>
          <w:color w:val="455A64"/>
          <w:sz w:val="20"/>
        </w:rPr>
        <w:t>No mechanic's-lien right waived by engaging in this dispute-resolution process.</w:t>
      </w:r>
    </w:p>
    <w:p>
      <w:pPr>
        <w:keepNext/>
        <w:spacing w:before="200" w:after="80"/>
      </w:pPr>
      <w:r>
        <w:rPr>
          <w:rFonts w:ascii="Calibri" w:hAnsi="Calibri"/>
          <w:b/>
          <w:color w:val="455A64"/>
          <w:sz w:val="22"/>
        </w:rPr>
        <w:t>Termination</w:t>
      </w:r>
    </w:p>
    <w:p>
      <w:pPr>
        <w:pStyle w:val="ListBullet"/>
        <w:spacing w:after="60"/>
      </w:pPr>
      <w:r>
        <w:rPr>
          <w:rFonts w:ascii="Calibri" w:hAnsi="Calibri"/>
          <w:b w:val="0"/>
          <w:color w:val="455A64"/>
          <w:sz w:val="20"/>
        </w:rPr>
        <w:t>Termination for convenience by GC: GCC paid for (a) all work in place per approved pay apps, (b) all materials procured and not returnable to supplier (with title passing to owner), (c) reasonable demobilization cost, and (d) 10% of unperformed base bid as overhead and crew-recovery allowance.</w:t>
      </w:r>
    </w:p>
    <w:p>
      <w:pPr>
        <w:pStyle w:val="ListBullet"/>
        <w:spacing w:after="60"/>
      </w:pPr>
      <w:r>
        <w:rPr>
          <w:rFonts w:ascii="Calibri" w:hAnsi="Calibri"/>
          <w:b w:val="0"/>
          <w:color w:val="455A64"/>
          <w:sz w:val="20"/>
        </w:rPr>
        <w:t>Termination for cause: 10 business days written notice with specific material breach identified; 10 business days cure period; termination effective only if cure is not initiated in good faith.</w:t>
      </w:r>
    </w:p>
    <w:p>
      <w:pPr>
        <w:pStyle w:val="ListBullet"/>
        <w:spacing w:after="60"/>
      </w:pPr>
      <w:r>
        <w:rPr>
          <w:rFonts w:ascii="Calibri" w:hAnsi="Calibri"/>
          <w:b w:val="0"/>
          <w:color w:val="455A64"/>
          <w:sz w:val="20"/>
        </w:rPr>
        <w:t>GCC's right to terminate: for GC non-payment beyond 60 days of invoice approval; for repeated denial of site access; for unsafe conditions not remedied after written notice.</w:t>
      </w:r>
    </w:p>
    <w:p>
      <w:pPr>
        <w:pStyle w:val="ListBullet"/>
        <w:spacing w:after="60"/>
      </w:pPr>
      <w:r>
        <w:rPr>
          <w:rFonts w:ascii="Calibri" w:hAnsi="Calibri"/>
          <w:b w:val="0"/>
          <w:color w:val="455A64"/>
          <w:sz w:val="20"/>
        </w:rPr>
        <w:t>Post-termination: GCC retains all warranty obligations for work installed and paid for; lien rights preserved for unpaid amounts.</w:t>
      </w:r>
    </w:p>
    <w:p>
      <w:pPr>
        <w:keepNext/>
        <w:spacing w:before="200" w:after="80"/>
      </w:pPr>
      <w:r>
        <w:rPr>
          <w:rFonts w:ascii="Calibri" w:hAnsi="Calibri"/>
          <w:b/>
          <w:color w:val="455A64"/>
          <w:sz w:val="22"/>
        </w:rPr>
        <w:t>Lien Rights</w:t>
      </w:r>
    </w:p>
    <w:p>
      <w:pPr>
        <w:pStyle w:val="ListBullet"/>
        <w:spacing w:after="60"/>
      </w:pPr>
      <w:r>
        <w:rPr>
          <w:rFonts w:ascii="Calibri" w:hAnsi="Calibri"/>
          <w:b w:val="0"/>
          <w:color w:val="455A64"/>
          <w:sz w:val="20"/>
        </w:rPr>
        <w:t>GCC's mechanic's-lien rights are preserved per Missouri Revised Statutes Chapter 429.</w:t>
      </w:r>
    </w:p>
    <w:p>
      <w:pPr>
        <w:pStyle w:val="ListBullet"/>
        <w:spacing w:after="60"/>
      </w:pPr>
      <w:r>
        <w:rPr>
          <w:rFonts w:ascii="Calibri" w:hAnsi="Calibri"/>
          <w:b w:val="0"/>
          <w:color w:val="455A64"/>
          <w:sz w:val="20"/>
        </w:rPr>
        <w:t>Lien waivers executed concurrent with payment: conditional partial upon progress approval; unconditional partial upon receipt of funds; final unconditional upon final payment.</w:t>
      </w:r>
    </w:p>
    <w:p>
      <w:pPr>
        <w:pStyle w:val="ListBullet"/>
        <w:spacing w:after="60"/>
      </w:pPr>
      <w:r>
        <w:rPr>
          <w:rFonts w:ascii="Calibri" w:hAnsi="Calibri"/>
          <w:b w:val="0"/>
          <w:color w:val="455A64"/>
          <w:sz w:val="20"/>
        </w:rPr>
        <w:t>No lien-waiver language in a subcontract or pay application shall be interpreted to waive lien rights on unpaid work.</w:t>
      </w:r>
    </w:p>
    <w:p>
      <w:pPr>
        <w:keepNext/>
        <w:spacing w:before="200" w:after="80"/>
      </w:pPr>
      <w:r>
        <w:rPr>
          <w:rFonts w:ascii="Calibri" w:hAnsi="Calibri"/>
          <w:b/>
          <w:color w:val="455A64"/>
          <w:sz w:val="22"/>
        </w:rPr>
        <w:t>Confidentiality</w:t>
      </w:r>
    </w:p>
    <w:p>
      <w:pPr>
        <w:pStyle w:val="ListBullet"/>
        <w:spacing w:after="60"/>
      </w:pPr>
      <w:r>
        <w:rPr>
          <w:rFonts w:ascii="Calibri" w:hAnsi="Calibri"/>
          <w:b w:val="0"/>
          <w:color w:val="455A64"/>
          <w:sz w:val="20"/>
        </w:rPr>
        <w:t>Bid pricing, Unit Prices, internal methods, and crew-composition information disclosed in this Proposal Packet are confidential and proprietary to GCC.</w:t>
      </w:r>
    </w:p>
    <w:p>
      <w:pPr>
        <w:pStyle w:val="ListBullet"/>
        <w:spacing w:after="60"/>
      </w:pPr>
      <w:r>
        <w:rPr>
          <w:rFonts w:ascii="Calibri" w:hAnsi="Calibri"/>
          <w:b w:val="0"/>
          <w:color w:val="455A64"/>
          <w:sz w:val="20"/>
        </w:rPr>
        <w:t>GC and owner agree not to share this Proposal Packet with competing bidders or third parties except as legally required.</w:t>
      </w:r>
    </w:p>
    <w:p>
      <w:pPr>
        <w:keepNext/>
        <w:spacing w:before="200" w:after="80"/>
      </w:pPr>
      <w:r>
        <w:rPr>
          <w:rFonts w:ascii="Calibri" w:hAnsi="Calibri"/>
          <w:b/>
          <w:color w:val="455A64"/>
          <w:sz w:val="22"/>
        </w:rPr>
        <w:t>Order of Precedence / Entire Agreement</w:t>
      </w:r>
    </w:p>
    <w:p>
      <w:pPr>
        <w:spacing w:after="200"/>
      </w:pPr>
      <w:r>
        <w:rPr>
          <w:rFonts w:ascii="Calibri" w:hAnsi="Calibri"/>
          <w:b w:val="0"/>
          <w:i w:val="0"/>
          <w:color w:val="455A64"/>
          <w:sz w:val="20"/>
        </w:rPr>
        <w:t>In the event of any conflict among documents, priority is: (1) signed subcontract, (2) signed Change Orders in date order, latest controlling, (3) this Bid Proposal, (4) Statement of Work, (5) Standards, (6) Qualifications, (7) Cover Letter. This Proposal Packet constitutes the entire offer by GCC as to scope and commercial terms. No oral representation, prior correspondence, or course of dealing modifies this hierarchy without a written amendment signed by both parties.</w:t>
      </w:r>
    </w:p>
    <w:p>
      <w:pPr>
        <w:keepNext/>
        <w:pageBreakBefore/>
        <w:spacing w:before="0" w:after="80"/>
      </w:pPr>
      <w:r>
        <w:rPr>
          <w:rFonts w:ascii="Calibri" w:hAnsi="Calibri"/>
          <w:b/>
          <w:color w:val="2E7D32"/>
          <w:sz w:val="32"/>
        </w:rPr>
        <w:t>7.  Exclusions</w:t>
      </w:r>
    </w:p>
    <w:p>
      <w:pPr>
        <w:keepNext/>
        <w:spacing w:before="0" w:after="200"/>
        <w:pBdr>
          <w:bottom w:val="single" w:sz="8" w:color="2E7D32"/>
        </w:pBdr>
      </w:pPr>
    </w:p>
    <w:p>
      <w:pPr>
        <w:keepNext/>
        <w:spacing w:after="200"/>
      </w:pPr>
      <w:r>
        <w:rPr>
          <w:rFonts w:ascii="Calibri" w:hAnsi="Calibri"/>
          <w:b w:val="0"/>
          <w:i w:val="0"/>
          <w:color w:val="455A64"/>
          <w:sz w:val="20"/>
        </w:rPr>
        <w:t>The following categories are explicitly excluded from the Base Bid unless specifically added by alternate. These are GCC's standard scope boundaries across every proposal.</w:t>
      </w:r>
    </w:p>
    <w:tbl>
      <w:tblPr>
        <w:tblW w:type="auto" w:w="0"/>
        <w:tblLayout w:type="fixed"/>
        <w:tblLook w:firstColumn="1" w:firstRow="1" w:lastColumn="0" w:lastRow="0" w:noHBand="0" w:noVBand="1" w:val="04A0"/>
      </w:tblPr>
      <w:tblGrid>
        <w:gridCol w:w="2448"/>
        <w:gridCol w:w="7488"/>
      </w:tblGrid>
      <w:tr>
        <w:trPr>
          <w:cantSplit/>
          <w:tblHeader/>
        </w:trPr>
        <w:tc>
          <w:tcPr>
            <w:tcW w:type="dxa" w:w="2448"/>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Category</w:t>
            </w:r>
          </w:p>
        </w:tc>
        <w:tc>
          <w:tcPr>
            <w:tcW w:type="dxa" w:w="7488"/>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Excluded from Base Bid</w:t>
            </w:r>
          </w:p>
        </w:tc>
      </w:tr>
      <w:tr>
        <w:trPr>
          <w:cantSplit/>
        </w:trPr>
        <w:tc>
          <w:tcPr>
            <w:tcW w:type="dxa" w:w="244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 Electrical</w:t>
            </w:r>
          </w:p>
        </w:tc>
        <w:tc>
          <w:tcPr>
            <w:tcW w:type="dxa" w:w="74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All Div 26 rough-in, conduit, raceway, pathways, 120V/277V power, dedicated circuits, UPS wiring, lightning protection, grounding beyond the telecom room bonding bar.</w:t>
            </w:r>
          </w:p>
        </w:tc>
      </w:tr>
      <w:tr>
        <w:trPr>
          <w:cantSplit/>
        </w:trPr>
        <w:tc>
          <w:tcPr>
            <w:tcW w:type="dxa" w:w="244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B. Fire Alarm &amp; Emergency Comm</w:t>
            </w:r>
          </w:p>
        </w:tc>
        <w:tc>
          <w:tcPr>
            <w:tcW w:type="dxa" w:w="74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All Div 28 FA, Shield30/F2W, mass notification cabling and devices, emergency speaker circuits.</w:t>
            </w:r>
          </w:p>
        </w:tc>
      </w:tr>
      <w:tr>
        <w:trPr>
          <w:cantSplit/>
        </w:trPr>
        <w:tc>
          <w:tcPr>
            <w:tcW w:type="dxa" w:w="244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 Structural &amp; Architectural</w:t>
            </w:r>
          </w:p>
        </w:tc>
        <w:tc>
          <w:tcPr>
            <w:tcW w:type="dxa" w:w="74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Firestopping, core drilling, sawcutting, penetrations, wall patching, ceiling cuts, finish restoration, painting.</w:t>
            </w:r>
          </w:p>
        </w:tc>
      </w:tr>
      <w:tr>
        <w:trPr>
          <w:cantSplit/>
        </w:trPr>
        <w:tc>
          <w:tcPr>
            <w:tcW w:type="dxa" w:w="244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D. Millwork &amp; Casework</w:t>
            </w:r>
          </w:p>
        </w:tc>
        <w:tc>
          <w:tcPr>
            <w:tcW w:type="dxa" w:w="74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Custom rough carpentry, built-in casework, AV furniture, lecterns, podiums.</w:t>
            </w:r>
          </w:p>
        </w:tc>
      </w:tr>
      <w:tr>
        <w:trPr>
          <w:cantSplit/>
        </w:trPr>
        <w:tc>
          <w:tcPr>
            <w:tcW w:type="dxa" w:w="244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 HVAC / BMS / BAS</w:t>
            </w:r>
          </w:p>
        </w:tc>
        <w:tc>
          <w:tcPr>
            <w:tcW w:type="dxa" w:w="74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Thermostats, sensors, controller cabling, BACnet integration.</w:t>
            </w:r>
          </w:p>
        </w:tc>
      </w:tr>
      <w:tr>
        <w:trPr>
          <w:cantSplit/>
        </w:trPr>
        <w:tc>
          <w:tcPr>
            <w:tcW w:type="dxa" w:w="244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F. Site &amp; Civil</w:t>
            </w:r>
          </w:p>
        </w:tc>
        <w:tc>
          <w:tcPr>
            <w:tcW w:type="dxa" w:w="74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Trenching, backfill, boring, conduit sleeves across property lines, outdoor pedestal bases, ISP (between buildings or to ROW).</w:t>
            </w:r>
          </w:p>
        </w:tc>
      </w:tr>
      <w:tr>
        <w:trPr>
          <w:cantSplit/>
        </w:trPr>
        <w:tc>
          <w:tcPr>
            <w:tcW w:type="dxa" w:w="244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 Active Equipment</w:t>
            </w:r>
          </w:p>
        </w:tc>
        <w:tc>
          <w:tcPr>
            <w:tcW w:type="dxa" w:w="74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All switches, WAPs, firewalls, controllers, NVRs, head-end decoders unless explicitly named with model numbers in specs.</w:t>
            </w:r>
          </w:p>
        </w:tc>
      </w:tr>
      <w:tr>
        <w:trPr>
          <w:cantSplit/>
        </w:trPr>
        <w:tc>
          <w:tcPr>
            <w:tcW w:type="dxa" w:w="244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H. Programming &amp; Configuration</w:t>
            </w:r>
          </w:p>
        </w:tc>
        <w:tc>
          <w:tcPr>
            <w:tcW w:type="dxa" w:w="74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Beyond basic patch, label, and physical commissioning. No VLAN design, no certificate management, no firmware updates, no integration scripting.</w:t>
            </w:r>
          </w:p>
        </w:tc>
      </w:tr>
      <w:tr>
        <w:trPr>
          <w:cantSplit/>
        </w:trPr>
        <w:tc>
          <w:tcPr>
            <w:tcW w:type="dxa" w:w="244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I. Owner-Provided Materials</w:t>
            </w:r>
          </w:p>
        </w:tc>
        <w:tc>
          <w:tcPr>
            <w:tcW w:type="dxa" w:w="74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Any material listed as OFE, OFCI, or “by owner” in specs.</w:t>
            </w:r>
          </w:p>
        </w:tc>
      </w:tr>
      <w:tr>
        <w:trPr>
          <w:cantSplit/>
        </w:trPr>
        <w:tc>
          <w:tcPr>
            <w:tcW w:type="dxa" w:w="244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J. Permits, Fees, Inspections</w:t>
            </w:r>
          </w:p>
        </w:tc>
        <w:tc>
          <w:tcPr>
            <w:tcW w:type="dxa" w:w="74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Building permits, low-voltage permits, inspection fees, tap fees, franchise fees.</w:t>
            </w:r>
          </w:p>
        </w:tc>
      </w:tr>
      <w:tr>
        <w:trPr>
          <w:cantSplit/>
        </w:trPr>
        <w:tc>
          <w:tcPr>
            <w:tcW w:type="dxa" w:w="244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K. Warranty Extensions</w:t>
            </w:r>
          </w:p>
        </w:tc>
        <w:tc>
          <w:tcPr>
            <w:tcW w:type="dxa" w:w="74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Any extended warranty beyond the Standards section; service contracts; post-install support beyond 30-day punch.</w:t>
            </w:r>
          </w:p>
        </w:tc>
      </w:tr>
      <w:tr>
        <w:trPr>
          <w:cantSplit/>
        </w:trPr>
        <w:tc>
          <w:tcPr>
            <w:tcW w:type="dxa" w:w="244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w:t>
            </w:r>
          </w:p>
        </w:tc>
        <w:tc>
          <w:tcPr>
            <w:tcW w:type="dxa" w:w="74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{{PROJECT_SPECIFIC_EXCLUSIONS}} — project-specific exclusions continuing the A–K series.</w:t>
            </w:r>
          </w:p>
        </w:tc>
      </w:tr>
    </w:tbl>
    <w:p>
      <w:pPr>
        <w:spacing w:after="120"/>
      </w:pPr>
    </w:p>
    <w:p>
      <w:pPr>
        <w:keepNext/>
        <w:pageBreakBefore/>
        <w:spacing w:before="0" w:after="80"/>
      </w:pPr>
      <w:r>
        <w:rPr>
          <w:rFonts w:ascii="Calibri" w:hAnsi="Calibri"/>
          <w:b/>
          <w:color w:val="2E7D32"/>
          <w:sz w:val="32"/>
        </w:rPr>
        <w:t>8.  Acceptance</w:t>
      </w:r>
    </w:p>
    <w:p>
      <w:pPr>
        <w:keepNext/>
        <w:spacing w:before="0" w:after="200"/>
        <w:pBdr>
          <w:bottom w:val="single" w:sz="8" w:color="2E7D32"/>
        </w:pBdr>
      </w:pPr>
    </w:p>
    <w:p>
      <w:pPr>
        <w:keepNext/>
        <w:spacing w:after="280"/>
      </w:pPr>
      <w:r>
        <w:rPr>
          <w:rFonts w:ascii="Calibri" w:hAnsi="Calibri"/>
          <w:b w:val="0"/>
          <w:i w:val="0"/>
          <w:color w:val="455A64"/>
          <w:sz w:val="20"/>
        </w:rPr>
        <w:t>Acceptance of this Bid Proposal constitutes GC's agreement to the terms in §6, the scope in the Statement of Work, and the standards in the Standards section. Acceptance may be communicated by signed subcontract, letter of intent, or email confirmation citing this bid number.</w:t>
      </w:r>
    </w:p>
    <w:tbl>
      <w:tblPr>
        <w:tblW w:type="auto" w:w="0"/>
        <w:tblLayout w:type="fixed"/>
        <w:tblLook w:firstColumn="1" w:firstRow="1" w:lastColumn="0" w:lastRow="0" w:noHBand="0" w:noVBand="1" w:val="04A0"/>
      </w:tblPr>
      <w:tblGrid>
        <w:gridCol w:w="4896"/>
        <w:gridCol w:w="4896"/>
      </w:tblGrid>
      <w:tr>
        <w:trPr>
          <w:cantSplit/>
        </w:trPr>
        <w:tc>
          <w:tcPr>
            <w:tcW w:type="dxa" w:w="4968"/>
            <w:tcBorders>
              <w:top w:val="nil"/>
              <w:left w:val="nil"/>
              <w:bottom w:val="nil"/>
              <w:right w:val="nil"/>
            </w:tcBorders>
          </w:tcPr>
          <w:p>
            <w:pPr>
              <w:spacing w:after="200"/>
            </w:pPr>
            <w:r>
              <w:rPr>
                <w:rFonts w:ascii="Calibri" w:hAnsi="Calibri"/>
                <w:b/>
                <w:color w:val="2E7D32"/>
                <w:sz w:val="20"/>
              </w:rPr>
              <w:t>Accepted for {{GC_COMPANY_NAME}}:</w:t>
            </w:r>
          </w:p>
        </w:tc>
        <w:tc>
          <w:tcPr>
            <w:tcW w:type="dxa" w:w="4968"/>
            <w:tcBorders>
              <w:top w:val="nil"/>
              <w:left w:val="nil"/>
              <w:bottom w:val="nil"/>
              <w:right w:val="nil"/>
            </w:tcBorders>
          </w:tcPr>
          <w:p>
            <w:pPr>
              <w:spacing w:after="200"/>
            </w:pPr>
            <w:r>
              <w:rPr>
                <w:rFonts w:ascii="Calibri" w:hAnsi="Calibri"/>
                <w:b/>
                <w:color w:val="2E7D32"/>
                <w:sz w:val="20"/>
              </w:rPr>
              <w:t>Accepted for Green Communications Contracting LLC:</w:t>
            </w:r>
          </w:p>
        </w:tc>
      </w:tr>
      <w:tr>
        <w:trPr>
          <w:cantSplit/>
        </w:trPr>
        <w:tc>
          <w:tcPr>
            <w:tcW w:type="dxa" w:w="4968"/>
            <w:tcBorders>
              <w:top w:val="nil"/>
              <w:left w:val="nil"/>
              <w:bottom w:val="nil"/>
              <w:right w:val="nil"/>
            </w:tcBorders>
          </w:tcPr>
          <w:p>
            <w:pPr>
              <w:spacing w:after="200"/>
            </w:pPr>
            <w:r>
              <w:rPr>
                <w:rFonts w:ascii="Calibri" w:hAnsi="Calibri"/>
                <w:color w:val="455A64"/>
                <w:sz w:val="20"/>
              </w:rPr>
              <w:t>Signature:  ___________________________</w:t>
            </w:r>
          </w:p>
        </w:tc>
        <w:tc>
          <w:tcPr>
            <w:tcW w:type="dxa" w:w="4968"/>
            <w:tcBorders>
              <w:top w:val="nil"/>
              <w:left w:val="nil"/>
              <w:bottom w:val="nil"/>
              <w:right w:val="nil"/>
            </w:tcBorders>
          </w:tcPr>
          <w:p>
            <w:pPr>
              <w:spacing w:after="200"/>
            </w:pPr>
            <w:r>
              <w:rPr>
                <w:rFonts w:ascii="Calibri" w:hAnsi="Calibri"/>
                <w:color w:val="455A64"/>
                <w:sz w:val="20"/>
              </w:rPr>
              <w:t>Signature:</w:t>
            </w:r>
          </w:p>
        </w:tc>
      </w:tr>
      <w:tr>
        <w:trPr>
          <w:cantSplit/>
        </w:trPr>
        <w:tc>
          <w:tcPr>
            <w:tcW w:type="dxa" w:w="4968"/>
            <w:tcBorders>
              <w:top w:val="nil"/>
              <w:left w:val="nil"/>
              <w:bottom w:val="nil"/>
              <w:right w:val="nil"/>
            </w:tcBorders>
          </w:tcPr>
          <w:p>
            <w:pPr>
              <w:spacing w:after="200"/>
            </w:pPr>
            <w:r>
              <w:rPr>
                <w:rFonts w:ascii="Calibri" w:hAnsi="Calibri"/>
                <w:color w:val="455A64"/>
                <w:sz w:val="20"/>
              </w:rPr>
              <w:t>Print / Title / Date:  __________________</w:t>
            </w:r>
          </w:p>
        </w:tc>
        <w:tc>
          <w:tcPr>
            <w:tcW w:type="dxa" w:w="4968"/>
            <w:tcBorders>
              <w:top w:val="nil"/>
              <w:left w:val="nil"/>
              <w:bottom w:val="nil"/>
              <w:right w:val="nil"/>
            </w:tcBorders>
          </w:tcPr>
          <w:p>
            <w:pPr>
              <w:spacing w:after="200"/>
            </w:pPr>
            <w:r>
              <w:rPr>
                <w:rFonts w:ascii="Calibri" w:hAnsi="Calibri"/>
                <w:color w:val="455A64"/>
                <w:sz w:val="20"/>
              </w:rPr>
              <w:t>Kaitlyn Morris  ·  President  ·  {{BID_DATE}}</w:t>
            </w:r>
          </w:p>
        </w:tc>
      </w:tr>
    </w:tbl>
    <w:sectPr w:rsidR="00FC693F" w:rsidRPr="0006063C" w:rsidSect="00034616">
      <w:headerReference w:type="default" r:id="rId9"/>
      <w:footerReference w:type="default" r:id="rId10"/>
      <w:pgSz w:w="12240" w:h="15840"/>
      <w:pgMar w:top="1224" w:right="1152" w:bottom="1152"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7920"/>
      <w:gridCol w:w="2160"/>
    </w:tblGrid>
    <w:tr>
      <w:tc>
        <w:tcPr>
          <w:tcW w:type="dxa" w:w="5040"/>
          <w:tcBorders>
            <w:top w:val="nil"/>
            <w:left w:val="nil"/>
            <w:bottom w:val="nil"/>
            <w:right w:val="nil"/>
          </w:tcBorders>
        </w:tcPr>
        <w:p>
          <w:pPr>
            <w:jc w:val="left"/>
          </w:pPr>
          <w:r>
            <w:rPr>
              <w:rFonts w:ascii="Calibri" w:hAnsi="Calibri"/>
              <w:i/>
              <w:color w:val="455A64"/>
              <w:sz w:val="16"/>
            </w:rPr>
            <w:t>GCC LLC   ·   Proprietary &amp; Confidential   ·   Licensed &amp; Insured   ·   KCMO &amp; STL</w:t>
          </w:r>
        </w:p>
      </w:tc>
      <w:tc>
        <w:tcPr>
          <w:tcW w:type="dxa" w:w="5040"/>
          <w:tcBorders>
            <w:top w:val="nil"/>
            <w:left w:val="nil"/>
            <w:bottom w:val="nil"/>
            <w:right w:val="nil"/>
          </w:tcBorders>
        </w:tcPr>
        <w:p>
          <w:pPr>
            <w:jc w:val="right"/>
          </w:pPr>
          <w:r>
            <w:rPr>
              <w:rFonts w:ascii="Calibri" w:hAnsi="Calibri"/>
              <w:color w:val="455A64"/>
              <w:sz w:val="16"/>
            </w:rPr>
            <w:t xml:space="preserve">Page </w:t>
          </w:r>
          <w:r>
            <w:rPr>
              <w:rFonts w:ascii="Calibri" w:hAnsi="Calibri"/>
              <w:color w:val="455A64"/>
              <w:sz w:val="16"/>
            </w:rPr>
            <w:fldChar w:fldCharType="begin"/>
            <w:instrText xml:space="preserve">PAGE</w:instrText>
            <w:fldChar w:fldCharType="end"/>
          </w:r>
          <w:r>
            <w:rPr>
              <w:rFonts w:ascii="Calibri" w:hAnsi="Calibri"/>
              <w:color w:val="455A64"/>
              <w:sz w:val="16"/>
            </w:rPr>
            <w:t xml:space="preserve"> of </w:t>
          </w:r>
          <w:r>
            <w:rPr>
              <w:rFonts w:ascii="Calibri" w:hAnsi="Calibri"/>
              <w:color w:val="455A64"/>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616"/>
      <w:gridCol w:w="4320"/>
    </w:tblGrid>
    <w:tr>
      <w:tc>
        <w:tcPr>
          <w:tcW w:type="dxa" w:w="5616"/>
          <w:tcBorders>
            <w:top w:val="nil"/>
            <w:left w:val="nil"/>
            <w:bottom w:val="nil"/>
            <w:right w:val="nil"/>
          </w:tcBorders>
        </w:tcPr>
        <w:p>
          <w:pPr>
            <w:jc w:val="left"/>
          </w:pPr>
          <w:r>
            <w:drawing>
              <wp:inline xmlns:a="http://schemas.openxmlformats.org/drawingml/2006/main" xmlns:pic="http://schemas.openxmlformats.org/drawingml/2006/picture">
                <wp:extent cx="548640" cy="184691"/>
                <wp:docPr id="1" name="Picture 1"/>
                <wp:cNvGraphicFramePr>
                  <a:graphicFrameLocks noChangeAspect="1"/>
                </wp:cNvGraphicFramePr>
                <a:graphic>
                  <a:graphicData uri="http://schemas.openxmlformats.org/drawingml/2006/picture">
                    <pic:pic>
                      <pic:nvPicPr>
                        <pic:cNvPr id="0" name="emblem.png"/>
                        <pic:cNvPicPr/>
                      </pic:nvPicPr>
                      <pic:blipFill>
                        <a:blip r:embed="rId1"/>
                        <a:stretch>
                          <a:fillRect/>
                        </a:stretch>
                      </pic:blipFill>
                      <pic:spPr>
                        <a:xfrm>
                          <a:off x="0" y="0"/>
                          <a:ext cx="548640" cy="184691"/>
                        </a:xfrm>
                        <a:prstGeom prst="rect"/>
                      </pic:spPr>
                    </pic:pic>
                  </a:graphicData>
                </a:graphic>
              </wp:inline>
            </w:drawing>
          </w:r>
        </w:p>
      </w:tc>
      <w:tc>
        <w:tcPr>
          <w:tcW w:type="dxa" w:w="4320"/>
          <w:vAlign w:val="center"/>
          <w:tcBorders>
            <w:top w:val="nil"/>
            <w:left w:val="nil"/>
            <w:bottom w:val="nil"/>
            <w:right w:val="nil"/>
          </w:tcBorders>
        </w:tcPr>
        <w:p>
          <w:pPr>
            <w:jc w:val="right"/>
          </w:pPr>
          <w:r>
            <w:rPr>
              <w:rFonts w:ascii="Calibri" w:hAnsi="Calibri"/>
              <w:color w:val="455A64"/>
              <w:sz w:val="18"/>
            </w:rPr>
            <w:t>(636) 224-8192  ·  kaitlyn@greencommllc.com</w:t>
          </w:r>
        </w:p>
      </w:tc>
    </w:tr>
  </w:tbl>
  <w:p>
    <w:pPr>
      <w:spacing w:before="80" w:after="0"/>
      <w:pBdr>
        <w:bottom w:val="single" w:sz="12" w:color="2E7D3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