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40"/>
      </w:pPr>
      <w:r>
        <w:rPr>
          <w:rFonts w:ascii="Calibri" w:hAnsi="Calibri"/>
          <w:b/>
          <w:color w:val="2E7D32"/>
          <w:sz w:val="44"/>
        </w:rPr>
        <w:t>Statement of Work</w:t>
      </w:r>
    </w:p>
    <w:p>
      <w:pPr>
        <w:keepNext/>
        <w:spacing w:after="40"/>
      </w:pPr>
      <w:r>
        <w:rPr>
          <w:rFonts w:ascii="Calibri" w:hAnsi="Calibri"/>
          <w:b w:val="0"/>
          <w:i w:val="0"/>
          <w:color w:val="455A64"/>
          <w:sz w:val="26"/>
        </w:rPr>
        <w:t>{{SITE_NAME}} — {{CITY_STATE}}</w:t>
      </w:r>
    </w:p>
    <w:p>
      <w:pPr>
        <w:keepNext/>
        <w:spacing w:after="160"/>
      </w:pPr>
      <w:r>
        <w:rPr>
          <w:rFonts w:ascii="Calibri" w:hAnsi="Calibri"/>
          <w:b w:val="0"/>
          <w:i w:val="0"/>
          <w:color w:val="455A64"/>
          <w:sz w:val="20"/>
        </w:rPr>
        <w:t>Companion exhibit to the Bid Proposal  ·  Defines technical scope, method, and quality gates</w:t>
      </w:r>
    </w:p>
    <w:p>
      <w:pPr>
        <w:pBdr>
          <w:bottom w:val="single" w:sz="12" w:color="2E7D32"/>
        </w:pBdr>
      </w:pPr>
    </w:p>
    <w:p>
      <w:pPr>
        <w:keepNext/>
        <w:spacing w:before="160" w:after="80"/>
      </w:pPr>
      <w:r>
        <w:rPr>
          <w:rFonts w:ascii="Calibri" w:hAnsi="Calibri"/>
          <w:b/>
          <w:color w:val="2E7D32"/>
          <w:sz w:val="32"/>
        </w:rPr>
        <w:t>1.  Scope Summary</w:t>
      </w:r>
    </w:p>
    <w:p>
      <w:pPr>
        <w:keepNext/>
        <w:spacing w:before="0" w:after="200"/>
        <w:pBdr>
          <w:bottom w:val="single" w:sz="8" w:color="2E7D32"/>
        </w:pBdr>
      </w:pPr>
    </w:p>
    <w:p>
      <w:pPr>
        <w:spacing w:after="200"/>
      </w:pPr>
      <w:r>
        <w:rPr>
          <w:rFonts w:ascii="Calibri" w:hAnsi="Calibri"/>
          <w:b w:val="0"/>
          <w:i w:val="0"/>
          <w:color w:val="455A64"/>
          <w:sz w:val="20"/>
        </w:rPr>
        <w:t>GCC will furnish and install all Division 27 (Communications) and Division 28 (Electronic Safety &amp; Security) low-voltage work as shown on the issued drawings and specified in the bid documents. Work is delivered complete, certified, labeled, and documented per the standards in the Standards section of this Proposal Packet.</w:t>
      </w:r>
    </w:p>
    <w:p>
      <w:pPr>
        <w:keepNext/>
        <w:pageBreakBefore/>
        <w:spacing w:before="0" w:after="80"/>
      </w:pPr>
      <w:r>
        <w:rPr>
          <w:rFonts w:ascii="Calibri" w:hAnsi="Calibri"/>
          <w:b/>
          <w:color w:val="2E7D32"/>
          <w:sz w:val="32"/>
        </w:rPr>
        <w:t>2.  Included Work — Division 27 Communications</w:t>
      </w:r>
    </w:p>
    <w:p>
      <w:pPr>
        <w:keepNext/>
        <w:spacing w:before="0" w:after="200"/>
        <w:pBdr>
          <w:bottom w:val="single" w:sz="8" w:color="2E7D32"/>
        </w:pBdr>
      </w:pPr>
    </w:p>
    <w:p>
      <w:pPr>
        <w:pStyle w:val="ListBullet"/>
        <w:spacing w:after="60"/>
      </w:pPr>
      <w:r>
        <w:rPr>
          <w:rFonts w:ascii="Calibri" w:hAnsi="Calibri"/>
          <w:b w:val="0"/>
          <w:color w:val="455A64"/>
          <w:sz w:val="20"/>
        </w:rPr>
        <w:t>Horizontal copper cable — Cat6A plenum, blue jacket on every data drop (GCC standard baseline). Cat6 substitute for Cat6A is not offered on any GCC bid.</w:t>
      </w:r>
    </w:p>
    <w:p>
      <w:pPr>
        <w:pStyle w:val="ListBullet"/>
        <w:spacing w:after="60"/>
      </w:pPr>
      <w:r>
        <w:rPr>
          <w:rFonts w:ascii="Calibri" w:hAnsi="Calibri"/>
          <w:b w:val="0"/>
          <w:color w:val="455A64"/>
          <w:sz w:val="20"/>
        </w:rPr>
        <w:t>Fiber backbone — OS2 single-mode and/or OM3/OM4 multi-mode per specs; terminated SC or LC fusion splice.</w:t>
      </w:r>
    </w:p>
    <w:p>
      <w:pPr>
        <w:pStyle w:val="ListBullet"/>
        <w:spacing w:after="60"/>
      </w:pPr>
      <w:r>
        <w:rPr>
          <w:rFonts w:ascii="Calibri" w:hAnsi="Calibri"/>
          <w:b w:val="0"/>
          <w:color w:val="455A64"/>
          <w:sz w:val="20"/>
        </w:rPr>
        <w:t>Patch panels, fiber housings, and patch cords furnished and installed at MDF/IDF.</w:t>
      </w:r>
    </w:p>
    <w:p>
      <w:pPr>
        <w:pStyle w:val="ListBullet"/>
        <w:spacing w:after="60"/>
      </w:pPr>
      <w:r>
        <w:rPr>
          <w:rFonts w:ascii="Calibri" w:hAnsi="Calibri"/>
          <w:b w:val="0"/>
          <w:color w:val="455A64"/>
          <w:sz w:val="20"/>
        </w:rPr>
        <w:t>Wall plates, faceplates, and surface mount boxes — TIA-568.2-D Class EA certified module.</w:t>
      </w:r>
    </w:p>
    <w:p>
      <w:pPr>
        <w:pStyle w:val="ListBullet"/>
        <w:spacing w:after="60"/>
      </w:pPr>
      <w:r>
        <w:rPr>
          <w:rFonts w:ascii="Calibri" w:hAnsi="Calibri"/>
          <w:b w:val="0"/>
          <w:color w:val="455A64"/>
          <w:sz w:val="20"/>
        </w:rPr>
        <w:t>MDF and IDF room buildout — rack, ladder racking, ground bar, cable management, labels. One MDF per job; all other telecom rooms are IDFs.</w:t>
      </w:r>
    </w:p>
    <w:p>
      <w:pPr>
        <w:pStyle w:val="ListBullet"/>
        <w:spacing w:after="60"/>
      </w:pPr>
      <w:r>
        <w:rPr>
          <w:rFonts w:ascii="Calibri" w:hAnsi="Calibri"/>
          <w:b w:val="0"/>
          <w:color w:val="455A64"/>
          <w:sz w:val="20"/>
        </w:rPr>
        <w:t>Service loop standard: 10 LF at the outlet end, 15 LF at the MDF/IDF end, plus any directed extras per spec.</w:t>
      </w:r>
    </w:p>
    <w:p>
      <w:pPr>
        <w:pStyle w:val="ListBullet"/>
        <w:spacing w:after="60"/>
      </w:pPr>
      <w:r>
        <w:rPr>
          <w:rFonts w:ascii="Calibri" w:hAnsi="Calibri"/>
          <w:b w:val="0"/>
          <w:color w:val="455A64"/>
          <w:sz w:val="20"/>
        </w:rPr>
        <w:t>Elevator phones: exactly 2 Cat6A plenum cables per shaft (1 per cab) homerun to MDF/IDF.</w:t>
      </w:r>
    </w:p>
    <w:p>
      <w:pPr>
        <w:keepNext/>
        <w:pageBreakBefore/>
        <w:spacing w:before="0" w:after="80"/>
      </w:pPr>
      <w:r>
        <w:rPr>
          <w:rFonts w:ascii="Calibri" w:hAnsi="Calibri"/>
          <w:b/>
          <w:color w:val="2E7D32"/>
          <w:sz w:val="32"/>
        </w:rPr>
        <w:t>3.  Included Work — Division 28 Electronic Safety &amp; Security</w:t>
      </w:r>
    </w:p>
    <w:p>
      <w:pPr>
        <w:keepNext/>
        <w:spacing w:before="0" w:after="200"/>
        <w:pBdr>
          <w:bottom w:val="single" w:sz="8" w:color="2E7D32"/>
        </w:pBdr>
      </w:pPr>
    </w:p>
    <w:p>
      <w:pPr>
        <w:pStyle w:val="ListBullet"/>
        <w:spacing w:after="60"/>
      </w:pPr>
      <w:r>
        <w:rPr>
          <w:rFonts w:ascii="Calibri" w:hAnsi="Calibri"/>
          <w:b w:val="0"/>
          <w:color w:val="455A64"/>
          <w:sz w:val="20"/>
        </w:rPr>
        <w:t>Camera cabling — Cat6A plenum, color-coded green, homerun to IDF.</w:t>
      </w:r>
    </w:p>
    <w:p>
      <w:pPr>
        <w:pStyle w:val="ListBullet"/>
        <w:spacing w:after="60"/>
      </w:pPr>
      <w:r>
        <w:rPr>
          <w:rFonts w:ascii="Calibri" w:hAnsi="Calibri"/>
          <w:b w:val="0"/>
          <w:color w:val="455A64"/>
          <w:sz w:val="20"/>
        </w:rPr>
        <w:t>Access control cabling — composite (22/6 shielded) to each reader, REX, mag lock, and electric strike location.</w:t>
      </w:r>
    </w:p>
    <w:p>
      <w:pPr>
        <w:pStyle w:val="ListBullet"/>
        <w:spacing w:after="60"/>
      </w:pPr>
      <w:r>
        <w:rPr>
          <w:rFonts w:ascii="Calibri" w:hAnsi="Calibri"/>
          <w:b w:val="0"/>
          <w:color w:val="455A64"/>
          <w:sz w:val="20"/>
        </w:rPr>
        <w:t>Intrusion detection cabling to door contacts, glass-break sensors, and motion detectors per spec.</w:t>
      </w:r>
    </w:p>
    <w:p>
      <w:pPr>
        <w:pStyle w:val="ListBullet"/>
        <w:spacing w:after="60"/>
      </w:pPr>
      <w:r>
        <w:rPr>
          <w:rFonts w:ascii="Calibri" w:hAnsi="Calibri"/>
          <w:b w:val="0"/>
          <w:color w:val="455A64"/>
          <w:sz w:val="20"/>
        </w:rPr>
        <w:t>Intercom and call station cabling where specified in Div 28 scope.</w:t>
      </w:r>
    </w:p>
    <w:p>
      <w:pPr>
        <w:pStyle w:val="ListBullet"/>
        <w:spacing w:after="60"/>
      </w:pPr>
      <w:r>
        <w:rPr>
          <w:rFonts w:ascii="Calibri" w:hAnsi="Calibri"/>
          <w:b w:val="0"/>
          <w:color w:val="455A64"/>
          <w:sz w:val="20"/>
        </w:rPr>
        <w:t>Labeling per TIA-606-C Class 3 — Building.Floor.Room.Outlet-Port format.</w:t>
      </w:r>
    </w:p>
    <w:p>
      <w:pPr>
        <w:pStyle w:val="ListBullet"/>
        <w:spacing w:after="60"/>
      </w:pPr>
      <w:r>
        <w:rPr>
          <w:rFonts w:ascii="Calibri" w:hAnsi="Calibri"/>
          <w:b w:val="0"/>
          <w:color w:val="455A64"/>
          <w:sz w:val="20"/>
        </w:rPr>
        <w:t>Camera and ACS device mounting, termination, and test — excludes programming per Bid Proposal Exclusions §7.H.</w:t>
      </w:r>
    </w:p>
    <w:p>
      <w:pPr>
        <w:keepNext/>
        <w:pageBreakBefore/>
        <w:spacing w:before="0" w:after="80"/>
      </w:pPr>
      <w:r>
        <w:rPr>
          <w:rFonts w:ascii="Calibri" w:hAnsi="Calibri"/>
          <w:b/>
          <w:color w:val="2E7D32"/>
          <w:sz w:val="32"/>
        </w:rPr>
        <w:t>4.  Method &amp; Execution</w:t>
      </w:r>
    </w:p>
    <w:p>
      <w:pPr>
        <w:keepNext/>
        <w:spacing w:before="0" w:after="200"/>
        <w:pBdr>
          <w:bottom w:val="single" w:sz="8" w:color="2E7D32"/>
        </w:pBdr>
      </w:pPr>
    </w:p>
    <w:p>
      <w:pPr>
        <w:keepNext/>
        <w:spacing w:before="200" w:after="80"/>
      </w:pPr>
      <w:r>
        <w:rPr>
          <w:rFonts w:ascii="Calibri" w:hAnsi="Calibri"/>
          <w:b/>
          <w:color w:val="455A64"/>
          <w:sz w:val="22"/>
        </w:rPr>
        <w:t>Minimum crew</w:t>
      </w:r>
    </w:p>
    <w:p>
      <w:pPr>
        <w:pStyle w:val="ListBullet"/>
        <w:spacing w:after="60"/>
      </w:pPr>
      <w:r>
        <w:rPr>
          <w:rFonts w:ascii="Calibri" w:hAnsi="Calibri"/>
          <w:b w:val="0"/>
          <w:color w:val="455A64"/>
          <w:sz w:val="20"/>
        </w:rPr>
        <w:t>2 people on-site at all times. Never solo. Safety requirement and productivity baseline.</w:t>
      </w:r>
    </w:p>
    <w:p>
      <w:pPr>
        <w:pStyle w:val="ListBullet"/>
        <w:spacing w:after="60"/>
      </w:pPr>
      <w:r>
        <w:rPr>
          <w:rFonts w:ascii="Calibri" w:hAnsi="Calibri"/>
          <w:b w:val="0"/>
          <w:color w:val="455A64"/>
          <w:sz w:val="20"/>
        </w:rPr>
        <w:t>Default crew mix: 1 foreman + 1 installer. Larger phases scale up at 1:3 foreman ratio maximum.</w:t>
      </w:r>
    </w:p>
    <w:p>
      <w:pPr>
        <w:keepNext/>
        <w:spacing w:before="200" w:after="80"/>
      </w:pPr>
      <w:r>
        <w:rPr>
          <w:rFonts w:ascii="Calibri" w:hAnsi="Calibri"/>
          <w:b/>
          <w:color w:val="455A64"/>
          <w:sz w:val="22"/>
        </w:rPr>
        <w:t>Pathway &amp; routing</w:t>
      </w:r>
    </w:p>
    <w:p>
      <w:pPr>
        <w:pStyle w:val="ListBullet"/>
        <w:spacing w:after="60"/>
      </w:pPr>
      <w:r>
        <w:rPr>
          <w:rFonts w:ascii="Calibri" w:hAnsi="Calibri"/>
          <w:b w:val="0"/>
          <w:color w:val="455A64"/>
          <w:sz w:val="20"/>
        </w:rPr>
        <w:t>Install in conduit, cable tray, or J-hook pathway furnished by the Electrical Contractor per Bid Proposal Exclusions §7.A.</w:t>
      </w:r>
    </w:p>
    <w:p>
      <w:pPr>
        <w:pStyle w:val="ListBullet"/>
        <w:spacing w:after="60"/>
      </w:pPr>
      <w:r>
        <w:rPr>
          <w:rFonts w:ascii="Calibri" w:hAnsi="Calibri"/>
          <w:b w:val="0"/>
          <w:color w:val="455A64"/>
          <w:sz w:val="20"/>
        </w:rPr>
        <w:t>Maintain NEC bend radius, separation from parallel power sources, and segregation per TIA-569-D.</w:t>
      </w:r>
    </w:p>
    <w:p>
      <w:pPr>
        <w:pStyle w:val="ListBullet"/>
        <w:spacing w:after="60"/>
      </w:pPr>
      <w:r>
        <w:rPr>
          <w:rFonts w:ascii="Calibri" w:hAnsi="Calibri"/>
          <w:b w:val="0"/>
          <w:color w:val="455A64"/>
          <w:sz w:val="20"/>
        </w:rPr>
        <w:t>Fire-rated penetrations are firestopped by others per Bid Proposal Exclusions §7.C.</w:t>
      </w:r>
    </w:p>
    <w:p>
      <w:pPr>
        <w:keepNext/>
        <w:spacing w:before="200" w:after="80"/>
      </w:pPr>
      <w:r>
        <w:rPr>
          <w:rFonts w:ascii="Calibri" w:hAnsi="Calibri"/>
          <w:b/>
          <w:color w:val="455A64"/>
          <w:sz w:val="22"/>
        </w:rPr>
        <w:t>Testing &amp; certification</w:t>
      </w:r>
    </w:p>
    <w:p>
      <w:pPr>
        <w:pStyle w:val="ListBullet"/>
        <w:spacing w:after="60"/>
      </w:pPr>
      <w:r>
        <w:rPr>
          <w:rFonts w:ascii="Calibri" w:hAnsi="Calibri"/>
          <w:b w:val="0"/>
          <w:color w:val="455A64"/>
          <w:sz w:val="20"/>
        </w:rPr>
        <w:t>Every copper drop tested with a Fluke DSX-8000 CableAnalyzer to Permanent Link spec: wire-map, length, insertion loss, return loss, NEXT, PS-NEXT, ACRF, PS-ACRF, delay skew, propagation delay.</w:t>
      </w:r>
    </w:p>
    <w:p>
      <w:pPr>
        <w:pStyle w:val="ListBullet"/>
        <w:spacing w:after="60"/>
      </w:pPr>
      <w:r>
        <w:rPr>
          <w:rFonts w:ascii="Calibri" w:hAnsi="Calibri"/>
          <w:b w:val="0"/>
          <w:color w:val="455A64"/>
          <w:sz w:val="20"/>
        </w:rPr>
        <w:t>Fiber backbone tested with OTDR bidirectional plus OLTS insertion loss.</w:t>
      </w:r>
    </w:p>
    <w:p>
      <w:pPr>
        <w:pStyle w:val="ListBullet"/>
        <w:spacing w:after="60"/>
      </w:pPr>
      <w:r>
        <w:rPr>
          <w:rFonts w:ascii="Calibri" w:hAnsi="Calibri"/>
          <w:b w:val="0"/>
          <w:color w:val="455A64"/>
          <w:sz w:val="20"/>
        </w:rPr>
        <w:t>LinkWare PDF reports produced for 100% of installed infrastructure and delivered at closeout.</w:t>
      </w:r>
    </w:p>
    <w:p>
      <w:pPr>
        <w:pStyle w:val="ListBullet"/>
        <w:spacing w:after="60"/>
      </w:pPr>
      <w:r>
        <w:rPr>
          <w:rFonts w:ascii="Calibri" w:hAnsi="Calibri"/>
          <w:b w:val="0"/>
          <w:color w:val="455A64"/>
          <w:sz w:val="20"/>
        </w:rPr>
        <w:t>Fail = re-terminate + re-certify on GCC ticket. No exceptions.</w:t>
      </w:r>
    </w:p>
    <w:p>
      <w:pPr>
        <w:keepNext/>
        <w:spacing w:before="200" w:after="80"/>
      </w:pPr>
      <w:r>
        <w:rPr>
          <w:rFonts w:ascii="Calibri" w:hAnsi="Calibri"/>
          <w:b/>
          <w:color w:val="455A64"/>
          <w:sz w:val="22"/>
        </w:rPr>
        <w:t>Labeling</w:t>
      </w:r>
    </w:p>
    <w:p>
      <w:pPr>
        <w:pStyle w:val="ListBullet"/>
        <w:spacing w:after="60"/>
      </w:pPr>
      <w:r>
        <w:rPr>
          <w:rFonts w:ascii="Calibri" w:hAnsi="Calibri"/>
          <w:b w:val="0"/>
          <w:color w:val="455A64"/>
          <w:sz w:val="20"/>
        </w:rPr>
        <w:t>TIA-606-C Class 3 format: Building.Floor.Room.Outlet-Port (e.g., A.1.101.A-1).</w:t>
      </w:r>
    </w:p>
    <w:p>
      <w:pPr>
        <w:pStyle w:val="ListBullet"/>
        <w:spacing w:after="60"/>
      </w:pPr>
      <w:r>
        <w:rPr>
          <w:rFonts w:ascii="Calibri" w:hAnsi="Calibri"/>
          <w:b w:val="0"/>
          <w:color w:val="455A64"/>
          <w:sz w:val="20"/>
        </w:rPr>
        <w:t>Project-specific overrides honored when bid documents specify a legacy scheme — noted per-job at kickoff.</w:t>
      </w:r>
    </w:p>
    <w:p>
      <w:pPr>
        <w:pStyle w:val="ListBullet"/>
        <w:spacing w:after="60"/>
      </w:pPr>
      <w:r>
        <w:rPr>
          <w:rFonts w:ascii="Calibri" w:hAnsi="Calibri"/>
          <w:b w:val="0"/>
          <w:color w:val="455A64"/>
          <w:sz w:val="20"/>
        </w:rPr>
        <w:t>Secondary labels supported (dual-scheme) on owner request.</w:t>
      </w:r>
    </w:p>
    <w:p>
      <w:pPr>
        <w:keepNext/>
        <w:pageBreakBefore/>
        <w:spacing w:before="0" w:after="80"/>
      </w:pPr>
      <w:r>
        <w:rPr>
          <w:rFonts w:ascii="Calibri" w:hAnsi="Calibri"/>
          <w:b/>
          <w:color w:val="2E7D32"/>
          <w:sz w:val="32"/>
        </w:rPr>
        <w:t>5.  Assumptions</w:t>
      </w:r>
    </w:p>
    <w:p>
      <w:pPr>
        <w:keepNext/>
        <w:spacing w:before="0" w:after="200"/>
        <w:pBdr>
          <w:bottom w:val="single" w:sz="8" w:color="2E7D32"/>
        </w:pBdr>
      </w:pPr>
    </w:p>
    <w:p>
      <w:pPr>
        <w:pStyle w:val="ListBullet"/>
        <w:spacing w:after="60"/>
      </w:pPr>
      <w:r>
        <w:rPr>
          <w:rFonts w:ascii="Calibri" w:hAnsi="Calibri"/>
          <w:b w:val="0"/>
          <w:color w:val="455A64"/>
          <w:sz w:val="20"/>
        </w:rPr>
        <w:t>Active equipment (switches, WAPs, firewalls, NVRs, controllers, head-ends) is Owner-Furnished, Contractor-Installed unless specs name a specific model assigned to GCC.</w:t>
      </w:r>
    </w:p>
    <w:p>
      <w:pPr>
        <w:pStyle w:val="ListBullet"/>
        <w:spacing w:after="60"/>
      </w:pPr>
      <w:r>
        <w:rPr>
          <w:rFonts w:ascii="Calibri" w:hAnsi="Calibri"/>
          <w:b w:val="0"/>
          <w:color w:val="455A64"/>
          <w:sz w:val="20"/>
        </w:rPr>
        <w:t>Power to telecom rooms is terminated and energized by the EC prior to GCC trim-out.</w:t>
      </w:r>
    </w:p>
    <w:p>
      <w:pPr>
        <w:pStyle w:val="ListBullet"/>
        <w:spacing w:after="60"/>
      </w:pPr>
      <w:r>
        <w:rPr>
          <w:rFonts w:ascii="Calibri" w:hAnsi="Calibri"/>
          <w:b w:val="0"/>
          <w:color w:val="455A64"/>
          <w:sz w:val="20"/>
        </w:rPr>
        <w:t>HVAC conditioning at MDF/IDF is commissioned and sustaining room temperature before rack install.</w:t>
      </w:r>
    </w:p>
    <w:p>
      <w:pPr>
        <w:pStyle w:val="ListBullet"/>
        <w:spacing w:after="60"/>
      </w:pPr>
      <w:r>
        <w:rPr>
          <w:rFonts w:ascii="Calibri" w:hAnsi="Calibri"/>
          <w:b w:val="0"/>
          <w:color w:val="455A64"/>
          <w:sz w:val="20"/>
        </w:rPr>
        <w:t>Site access is during normal hours (7 a.m.–5 p.m., M–F) unless an after-hours alternate is accepted.</w:t>
      </w:r>
    </w:p>
    <w:p>
      <w:pPr>
        <w:pStyle w:val="ListBullet"/>
        <w:spacing w:after="60"/>
      </w:pPr>
      <w:r>
        <w:rPr>
          <w:rFonts w:ascii="Calibri" w:hAnsi="Calibri"/>
          <w:b w:val="0"/>
          <w:color w:val="455A64"/>
          <w:sz w:val="20"/>
        </w:rPr>
        <w:t>Owner or GC provides a secure lockable room for GCC materials storage on site.</w:t>
      </w:r>
    </w:p>
    <w:p>
      <w:pPr>
        <w:pStyle w:val="ListBullet"/>
        <w:spacing w:after="60"/>
      </w:pPr>
      <w:r>
        <w:rPr>
          <w:rFonts w:ascii="Calibri" w:hAnsi="Calibri"/>
          <w:b w:val="0"/>
          <w:color w:val="455A64"/>
          <w:sz w:val="20"/>
        </w:rPr>
        <w:t>All addenda received on or before bid lock are priced. Addenda issued after bid lock are not priced.</w:t>
      </w:r>
    </w:p>
    <w:p>
      <w:pPr>
        <w:pStyle w:val="ListBullet"/>
        <w:spacing w:after="60"/>
      </w:pPr>
      <w:r>
        <w:rPr>
          <w:rFonts w:ascii="Calibri" w:hAnsi="Calibri"/>
          <w:b w:val="0"/>
          <w:color w:val="455A64"/>
          <w:sz w:val="20"/>
        </w:rPr>
        <w:t>Scope is bid as drawn. Ambiguity resolved by GCC via assumption, exclusion, or allowance per the Proposal.</w:t>
      </w:r>
    </w:p>
    <w:p>
      <w:pPr>
        <w:keepNext/>
        <w:pageBreakBefore/>
        <w:spacing w:before="0" w:after="80"/>
      </w:pPr>
      <w:r>
        <w:rPr>
          <w:rFonts w:ascii="Calibri" w:hAnsi="Calibri"/>
          <w:b/>
          <w:color w:val="2E7D32"/>
          <w:sz w:val="32"/>
        </w:rPr>
        <w:t>6.  Exclusions</w:t>
      </w:r>
    </w:p>
    <w:p>
      <w:pPr>
        <w:keepNext/>
        <w:spacing w:before="0" w:after="200"/>
        <w:pBdr>
          <w:bottom w:val="single" w:sz="8" w:color="2E7D32"/>
        </w:pBdr>
      </w:pPr>
    </w:p>
    <w:p>
      <w:pPr>
        <w:keepNext/>
        <w:spacing w:after="200"/>
      </w:pPr>
      <w:r>
        <w:rPr>
          <w:rFonts w:ascii="Calibri" w:hAnsi="Calibri"/>
          <w:b w:val="0"/>
          <w:i w:val="0"/>
          <w:color w:val="455A64"/>
          <w:sz w:val="20"/>
        </w:rPr>
        <w:t>Scope exclusions follow the Exclusions A–K Library as set forth in the Bid Proposal, §7. That list is authoritative. Summary reminder of the top categorical exclusions:</w:t>
      </w:r>
    </w:p>
    <w:p>
      <w:pPr>
        <w:pStyle w:val="ListBullet"/>
        <w:spacing w:after="60"/>
      </w:pPr>
      <w:r>
        <w:rPr>
          <w:rFonts w:ascii="Calibri" w:hAnsi="Calibri"/>
          <w:b w:val="0"/>
          <w:color w:val="455A64"/>
          <w:sz w:val="20"/>
        </w:rPr>
        <w:t>All Div 26 electrical — conduit, raceway, 120V/277V power, grounding (Exclusion A).</w:t>
      </w:r>
    </w:p>
    <w:p>
      <w:pPr>
        <w:pStyle w:val="ListBullet"/>
        <w:spacing w:after="60"/>
      </w:pPr>
      <w:r>
        <w:rPr>
          <w:rFonts w:ascii="Calibri" w:hAnsi="Calibri"/>
          <w:b w:val="0"/>
          <w:color w:val="455A64"/>
          <w:sz w:val="20"/>
        </w:rPr>
        <w:t>All Fire Alarm and emergency comm (Exclusion B).</w:t>
      </w:r>
    </w:p>
    <w:p>
      <w:pPr>
        <w:pStyle w:val="ListBullet"/>
        <w:spacing w:after="60"/>
      </w:pPr>
      <w:r>
        <w:rPr>
          <w:rFonts w:ascii="Calibri" w:hAnsi="Calibri"/>
          <w:b w:val="0"/>
          <w:color w:val="455A64"/>
          <w:sz w:val="20"/>
        </w:rPr>
        <w:t>Firestopping, core drilling, penetrations, patching (Exclusion C).</w:t>
      </w:r>
    </w:p>
    <w:p>
      <w:pPr>
        <w:pStyle w:val="ListBullet"/>
        <w:spacing w:after="60"/>
      </w:pPr>
      <w:r>
        <w:rPr>
          <w:rFonts w:ascii="Calibri" w:hAnsi="Calibri"/>
          <w:b w:val="0"/>
          <w:color w:val="455A64"/>
          <w:sz w:val="20"/>
        </w:rPr>
        <w:t>HVAC / BMS / BAS (Exclusion E).</w:t>
      </w:r>
    </w:p>
    <w:p>
      <w:pPr>
        <w:pStyle w:val="ListBullet"/>
        <w:spacing w:after="60"/>
      </w:pPr>
      <w:r>
        <w:rPr>
          <w:rFonts w:ascii="Calibri" w:hAnsi="Calibri"/>
          <w:b w:val="0"/>
          <w:color w:val="455A64"/>
          <w:sz w:val="20"/>
        </w:rPr>
        <w:t>Active equipment unless explicitly named with model numbers in specs (Exclusion G).</w:t>
      </w:r>
    </w:p>
    <w:p>
      <w:pPr>
        <w:pStyle w:val="ListBullet"/>
        <w:spacing w:after="60"/>
      </w:pPr>
      <w:r>
        <w:rPr>
          <w:rFonts w:ascii="Calibri" w:hAnsi="Calibri"/>
          <w:b w:val="0"/>
          <w:color w:val="455A64"/>
          <w:sz w:val="20"/>
        </w:rPr>
        <w:t>Programming beyond basic patch, label, and physical commissioning (Exclusion H).</w:t>
      </w:r>
    </w:p>
    <w:p>
      <w:pPr>
        <w:pStyle w:val="ListBullet"/>
        <w:spacing w:after="60"/>
      </w:pPr>
      <w:r>
        <w:rPr>
          <w:rFonts w:ascii="Calibri" w:hAnsi="Calibri"/>
          <w:b w:val="0"/>
          <w:color w:val="455A64"/>
          <w:sz w:val="20"/>
        </w:rPr>
        <w:t>Permits, fees, inspections (Exclusion J).</w:t>
      </w:r>
    </w:p>
    <w:p>
      <w:pPr>
        <w:keepNext/>
        <w:pageBreakBefore/>
        <w:spacing w:before="0" w:after="80"/>
      </w:pPr>
      <w:r>
        <w:rPr>
          <w:rFonts w:ascii="Calibri" w:hAnsi="Calibri"/>
          <w:b/>
          <w:color w:val="2E7D32"/>
          <w:sz w:val="32"/>
        </w:rPr>
        <w:t>7.  Indicative Schedule</w:t>
      </w:r>
    </w:p>
    <w:p>
      <w:pPr>
        <w:keepNext/>
        <w:spacing w:before="0" w:after="200"/>
        <w:pBdr>
          <w:bottom w:val="single" w:sz="8" w:color="2E7D32"/>
        </w:pBdr>
      </w:pPr>
    </w:p>
    <w:p>
      <w:pPr>
        <w:keepNext/>
        <w:spacing w:after="200"/>
      </w:pPr>
      <w:r>
        <w:rPr>
          <w:rFonts w:ascii="Calibri" w:hAnsi="Calibri"/>
          <w:b w:val="0"/>
          <w:i w:val="0"/>
          <w:color w:val="455A64"/>
          <w:sz w:val="20"/>
        </w:rPr>
        <w:t>Detailed construction schedule is developed at kickoff in coordination with the GC's master schedule. Indicative phases below follow the milestone billing structure in the Bid Proposal §6.</w:t>
      </w:r>
    </w:p>
    <w:tbl>
      <w:tblPr>
        <w:tblW w:type="auto" w:w="0"/>
        <w:tblLayout w:type="fixed"/>
        <w:tblLook w:firstColumn="1" w:firstRow="1" w:lastColumn="0" w:lastRow="0" w:noHBand="0" w:noVBand="1" w:val="04A0"/>
      </w:tblPr>
      <w:tblGrid>
        <w:gridCol w:w="1152"/>
        <w:gridCol w:w="1584"/>
        <w:gridCol w:w="7200"/>
      </w:tblGrid>
      <w:tr>
        <w:trPr>
          <w:cantSplit/>
          <w:tblHeader/>
        </w:trPr>
        <w:tc>
          <w:tcPr>
            <w:tcW w:type="dxa" w:w="1152"/>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Phase</w:t>
            </w:r>
          </w:p>
        </w:tc>
        <w:tc>
          <w:tcPr>
            <w:tcW w:type="dxa" w:w="1584"/>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Name</w:t>
            </w:r>
          </w:p>
        </w:tc>
        <w:tc>
          <w:tcPr>
            <w:tcW w:type="dxa" w:w="7200"/>
            <w:shd w:val="clear" w:color="auto" w:fill="2E7D32"/>
            <w:tcBorders>
              <w:top w:val="single" w:sz="4" w:color="455A64"/>
              <w:left w:val="single" w:sz="4" w:color="455A64"/>
              <w:bottom w:val="single" w:sz="4" w:color="455A64"/>
              <w:right w:val="single" w:sz="4" w:color="455A64"/>
            </w:tcBorders>
            <w:vAlign w:val="center"/>
          </w:tcPr>
          <w:p>
            <w:pPr>
              <w:jc w:val="left"/>
            </w:pPr>
            <w:r>
              <w:rPr>
                <w:rFonts w:ascii="Calibri" w:hAnsi="Calibri"/>
                <w:b/>
                <w:color w:val="FFFFFF"/>
                <w:sz w:val="20"/>
              </w:rPr>
              <w:t>Work</w:t>
            </w:r>
          </w:p>
        </w:tc>
      </w:tr>
      <w:tr>
        <w:trPr>
          <w:cantSplit/>
        </w:trPr>
        <w:tc>
          <w:tcPr>
            <w:tcW w:type="dxa" w:w="115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Phase 1</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Mobilization</w:t>
            </w:r>
          </w:p>
        </w:tc>
        <w:tc>
          <w:tcPr>
            <w:tcW w:type="dxa" w:w="720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Kickoff meeting, site orientation, safety onboarding, material staging</w:t>
            </w:r>
          </w:p>
        </w:tc>
      </w:tr>
      <w:tr>
        <w:trPr>
          <w:cantSplit/>
        </w:trPr>
        <w:tc>
          <w:tcPr>
            <w:tcW w:type="dxa" w:w="115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Phase 2</w:t>
            </w:r>
          </w:p>
        </w:tc>
        <w:tc>
          <w:tcPr>
            <w:tcW w:type="dxa" w:w="158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Rough-in</w:t>
            </w:r>
          </w:p>
        </w:tc>
        <w:tc>
          <w:tcPr>
            <w:tcW w:type="dxa" w:w="720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Cable pulls, pathway dress, floor box and wall box prep, homerun to MDF/IDF</w:t>
            </w:r>
          </w:p>
        </w:tc>
      </w:tr>
      <w:tr>
        <w:trPr>
          <w:cantSplit/>
        </w:trPr>
        <w:tc>
          <w:tcPr>
            <w:tcW w:type="dxa" w:w="115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Phase 3</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Trim-out</w:t>
            </w:r>
          </w:p>
        </w:tc>
        <w:tc>
          <w:tcPr>
            <w:tcW w:type="dxa" w:w="720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Termination of both ends, device mounting, patch panel dress, fiber fusion</w:t>
            </w:r>
          </w:p>
        </w:tc>
      </w:tr>
      <w:tr>
        <w:trPr>
          <w:cantSplit/>
        </w:trPr>
        <w:tc>
          <w:tcPr>
            <w:tcW w:type="dxa" w:w="1152"/>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Phase 4</w:t>
            </w:r>
          </w:p>
        </w:tc>
        <w:tc>
          <w:tcPr>
            <w:tcW w:type="dxa" w:w="1584"/>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Testing</w:t>
            </w:r>
          </w:p>
        </w:tc>
        <w:tc>
          <w:tcPr>
            <w:tcW w:type="dxa" w:w="7200"/>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Certification every drop, LinkWare report production, GC-witnessed sample tests</w:t>
            </w:r>
          </w:p>
        </w:tc>
      </w:tr>
      <w:tr>
        <w:trPr>
          <w:cantSplit/>
        </w:trPr>
        <w:tc>
          <w:tcPr>
            <w:tcW w:type="dxa" w:w="1152"/>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Phase 5</w:t>
            </w:r>
          </w:p>
        </w:tc>
        <w:tc>
          <w:tcPr>
            <w:tcW w:type="dxa" w:w="1584"/>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Closeout</w:t>
            </w:r>
          </w:p>
        </w:tc>
        <w:tc>
          <w:tcPr>
            <w:tcW w:type="dxa" w:w="7200"/>
            <w:shd w:val="clear" w:color="auto" w:fill="F1F8F1"/>
            <w:tcBorders>
              <w:top w:val="single" w:sz="4" w:color="455A64"/>
              <w:left w:val="single" w:sz="4" w:color="455A64"/>
              <w:bottom w:val="single" w:sz="4" w:color="455A64"/>
              <w:right w:val="single" w:sz="4" w:color="455A64"/>
            </w:tcBorders>
            <w:vAlign w:val="center"/>
          </w:tcPr>
          <w:p>
            <w:pPr>
              <w:jc w:val="left"/>
            </w:pPr>
            <w:r>
              <w:rPr>
                <w:rFonts w:ascii="Calibri" w:hAnsi="Calibri"/>
                <w:color w:val="455A64"/>
                <w:sz w:val="20"/>
              </w:rPr>
              <w:t>As-builts, warranty package, owner training if in scope, 30-day punch closed</w:t>
            </w:r>
          </w:p>
        </w:tc>
      </w:tr>
    </w:tbl>
    <w:p>
      <w:pPr>
        <w:spacing w:after="120"/>
      </w:pPr>
    </w:p>
    <w:p>
      <w:pPr>
        <w:keepNext/>
        <w:pageBreakBefore/>
        <w:spacing w:before="0" w:after="80"/>
      </w:pPr>
      <w:r>
        <w:rPr>
          <w:rFonts w:ascii="Calibri" w:hAnsi="Calibri"/>
          <w:b/>
          <w:color w:val="2E7D32"/>
          <w:sz w:val="32"/>
        </w:rPr>
        <w:t>8.  Standards &amp; Quality</w:t>
      </w:r>
    </w:p>
    <w:p>
      <w:pPr>
        <w:keepNext/>
        <w:spacing w:before="0" w:after="200"/>
        <w:pBdr>
          <w:bottom w:val="single" w:sz="8" w:color="2E7D32"/>
        </w:pBdr>
      </w:pPr>
    </w:p>
    <w:p>
      <w:pPr>
        <w:keepNext/>
        <w:spacing w:after="200"/>
      </w:pPr>
      <w:r>
        <w:rPr>
          <w:rFonts w:ascii="Calibri" w:hAnsi="Calibri"/>
          <w:b w:val="0"/>
          <w:i w:val="0"/>
          <w:color w:val="455A64"/>
          <w:sz w:val="20"/>
        </w:rPr>
        <w:t>All work complies with the following published standards as a minimum. Where bid documents cite a stricter standard, the stricter standard governs.</w:t>
      </w:r>
    </w:p>
    <w:p>
      <w:pPr>
        <w:pStyle w:val="ListBullet"/>
        <w:spacing w:after="60"/>
      </w:pPr>
      <w:r>
        <w:rPr>
          <w:rFonts w:ascii="Calibri" w:hAnsi="Calibri"/>
          <w:b w:val="0"/>
          <w:color w:val="455A64"/>
          <w:sz w:val="20"/>
        </w:rPr>
        <w:t>TIA-568.2-D — balanced twisted-pair telecommunications cabling.</w:t>
      </w:r>
    </w:p>
    <w:p>
      <w:pPr>
        <w:pStyle w:val="ListBullet"/>
        <w:spacing w:after="60"/>
      </w:pPr>
      <w:r>
        <w:rPr>
          <w:rFonts w:ascii="Calibri" w:hAnsi="Calibri"/>
          <w:b w:val="0"/>
          <w:color w:val="455A64"/>
          <w:sz w:val="20"/>
        </w:rPr>
        <w:t>TIA-568.3-D — optical fiber cabling components.</w:t>
      </w:r>
    </w:p>
    <w:p>
      <w:pPr>
        <w:pStyle w:val="ListBullet"/>
        <w:spacing w:after="60"/>
      </w:pPr>
      <w:r>
        <w:rPr>
          <w:rFonts w:ascii="Calibri" w:hAnsi="Calibri"/>
          <w:b w:val="0"/>
          <w:color w:val="455A64"/>
          <w:sz w:val="20"/>
        </w:rPr>
        <w:t>TIA-569-D — telecommunications pathways and spaces.</w:t>
      </w:r>
    </w:p>
    <w:p>
      <w:pPr>
        <w:pStyle w:val="ListBullet"/>
        <w:spacing w:after="60"/>
      </w:pPr>
      <w:r>
        <w:rPr>
          <w:rFonts w:ascii="Calibri" w:hAnsi="Calibri"/>
          <w:b w:val="0"/>
          <w:color w:val="455A64"/>
          <w:sz w:val="20"/>
        </w:rPr>
        <w:t>TIA-606-C — administration (Class 3 labeling).</w:t>
      </w:r>
    </w:p>
    <w:p>
      <w:pPr>
        <w:pStyle w:val="ListBullet"/>
        <w:spacing w:after="60"/>
      </w:pPr>
      <w:r>
        <w:rPr>
          <w:rFonts w:ascii="Calibri" w:hAnsi="Calibri"/>
          <w:b w:val="0"/>
          <w:color w:val="455A64"/>
          <w:sz w:val="20"/>
        </w:rPr>
        <w:t>TIA-607-D — generic telecommunications bonding and grounding.</w:t>
      </w:r>
    </w:p>
    <w:p>
      <w:pPr>
        <w:pStyle w:val="ListBullet"/>
        <w:spacing w:after="60"/>
      </w:pPr>
      <w:r>
        <w:rPr>
          <w:rFonts w:ascii="Calibri" w:hAnsi="Calibri"/>
          <w:b w:val="0"/>
          <w:color w:val="455A64"/>
          <w:sz w:val="20"/>
        </w:rPr>
        <w:t>BICSI TDMM 15th Edition — Telecommunications Distribution Methods Manual.</w:t>
      </w:r>
    </w:p>
    <w:p>
      <w:pPr>
        <w:pStyle w:val="ListBullet"/>
        <w:spacing w:after="60"/>
      </w:pPr>
      <w:r>
        <w:rPr>
          <w:rFonts w:ascii="Calibri" w:hAnsi="Calibri"/>
          <w:b w:val="0"/>
          <w:color w:val="455A64"/>
          <w:sz w:val="20"/>
        </w:rPr>
        <w:t>NEC / NFPA 70 — applicable low-voltage sections.</w:t>
      </w:r>
    </w:p>
    <w:p>
      <w:pPr>
        <w:pStyle w:val="ListBullet"/>
        <w:spacing w:after="60"/>
      </w:pPr>
      <w:r>
        <w:rPr>
          <w:rFonts w:ascii="Calibri" w:hAnsi="Calibri"/>
          <w:b w:val="0"/>
          <w:color w:val="455A64"/>
          <w:sz w:val="20"/>
        </w:rPr>
        <w:t>OSHA 29 CFR 1926 — construction safety.</w:t>
      </w:r>
    </w:p>
    <w:p>
      <w:pPr>
        <w:spacing w:after="200"/>
      </w:pPr>
      <w:r>
        <w:rPr>
          <w:rFonts w:ascii="Calibri" w:hAnsi="Calibri"/>
          <w:b w:val="0"/>
          <w:i w:val="0"/>
          <w:color w:val="455A64"/>
          <w:sz w:val="20"/>
        </w:rPr>
      </w:r>
    </w:p>
    <w:p>
      <w:pPr>
        <w:spacing w:after="0"/>
      </w:pPr>
      <w:r>
        <w:rPr>
          <w:rFonts w:ascii="Calibri" w:hAnsi="Calibri"/>
          <w:b w:val="0"/>
          <w:i/>
          <w:color w:val="455A64"/>
          <w:sz w:val="20"/>
        </w:rPr>
        <w:t>Warranty, testing methodology, and closeout deliverables are detailed in the Standards section of this Proposal Packet.</w:t>
      </w:r>
    </w:p>
    <w:sectPr w:rsidR="00FC693F" w:rsidRPr="0006063C" w:rsidSect="00034616">
      <w:headerReference w:type="default" r:id="rId9"/>
      <w:footerReference w:type="default" r:id="rId10"/>
      <w:pgSz w:w="12240" w:h="15840"/>
      <w:pgMar w:top="1224" w:right="1152" w:bottom="1152"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7920"/>
      <w:gridCol w:w="2160"/>
    </w:tblGrid>
    <w:tr>
      <w:tc>
        <w:tcPr>
          <w:tcW w:type="dxa" w:w="5040"/>
          <w:tcBorders>
            <w:top w:val="nil"/>
            <w:left w:val="nil"/>
            <w:bottom w:val="nil"/>
            <w:right w:val="nil"/>
          </w:tcBorders>
        </w:tcPr>
        <w:p>
          <w:pPr>
            <w:jc w:val="left"/>
          </w:pPr>
          <w:r>
            <w:rPr>
              <w:rFonts w:ascii="Calibri" w:hAnsi="Calibri"/>
              <w:i/>
              <w:color w:val="455A64"/>
              <w:sz w:val="16"/>
            </w:rPr>
            <w:t>GCC LLC   ·   Proprietary &amp; Confidential   ·   Licensed &amp; Insured   ·   KCMO &amp; STL</w:t>
          </w:r>
        </w:p>
      </w:tc>
      <w:tc>
        <w:tcPr>
          <w:tcW w:type="dxa" w:w="5040"/>
          <w:tcBorders>
            <w:top w:val="nil"/>
            <w:left w:val="nil"/>
            <w:bottom w:val="nil"/>
            <w:right w:val="nil"/>
          </w:tcBorders>
        </w:tcPr>
        <w:p>
          <w:pPr>
            <w:jc w:val="right"/>
          </w:pPr>
          <w:r>
            <w:rPr>
              <w:rFonts w:ascii="Calibri" w:hAnsi="Calibri"/>
              <w:color w:val="455A64"/>
              <w:sz w:val="16"/>
            </w:rPr>
            <w:t xml:space="preserve">Page </w:t>
          </w:r>
          <w:r>
            <w:rPr>
              <w:rFonts w:ascii="Calibri" w:hAnsi="Calibri"/>
              <w:color w:val="455A64"/>
              <w:sz w:val="16"/>
            </w:rPr>
            <w:fldChar w:fldCharType="begin"/>
            <w:instrText xml:space="preserve">PAGE</w:instrText>
            <w:fldChar w:fldCharType="end"/>
          </w:r>
          <w:r>
            <w:rPr>
              <w:rFonts w:ascii="Calibri" w:hAnsi="Calibri"/>
              <w:color w:val="455A64"/>
              <w:sz w:val="16"/>
            </w:rPr>
            <w:t xml:space="preserve"> of </w:t>
          </w:r>
          <w:r>
            <w:rPr>
              <w:rFonts w:ascii="Calibri" w:hAnsi="Calibri"/>
              <w:color w:val="455A64"/>
              <w:sz w:val="16"/>
            </w:rPr>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616"/>
      <w:gridCol w:w="4320"/>
    </w:tblGrid>
    <w:tr>
      <w:tc>
        <w:tcPr>
          <w:tcW w:type="dxa" w:w="5616"/>
          <w:tcBorders>
            <w:top w:val="nil"/>
            <w:left w:val="nil"/>
            <w:bottom w:val="nil"/>
            <w:right w:val="nil"/>
          </w:tcBorders>
        </w:tcPr>
        <w:p>
          <w:pPr>
            <w:jc w:val="left"/>
          </w:pPr>
          <w:r>
            <w:drawing>
              <wp:inline xmlns:a="http://schemas.openxmlformats.org/drawingml/2006/main" xmlns:pic="http://schemas.openxmlformats.org/drawingml/2006/picture">
                <wp:extent cx="548640" cy="184691"/>
                <wp:docPr id="1" name="Picture 1"/>
                <wp:cNvGraphicFramePr>
                  <a:graphicFrameLocks noChangeAspect="1"/>
                </wp:cNvGraphicFramePr>
                <a:graphic>
                  <a:graphicData uri="http://schemas.openxmlformats.org/drawingml/2006/picture">
                    <pic:pic>
                      <pic:nvPicPr>
                        <pic:cNvPr id="0" name="emblem.png"/>
                        <pic:cNvPicPr/>
                      </pic:nvPicPr>
                      <pic:blipFill>
                        <a:blip r:embed="rId1"/>
                        <a:stretch>
                          <a:fillRect/>
                        </a:stretch>
                      </pic:blipFill>
                      <pic:spPr>
                        <a:xfrm>
                          <a:off x="0" y="0"/>
                          <a:ext cx="548640" cy="184691"/>
                        </a:xfrm>
                        <a:prstGeom prst="rect"/>
                      </pic:spPr>
                    </pic:pic>
                  </a:graphicData>
                </a:graphic>
              </wp:inline>
            </w:drawing>
          </w:r>
        </w:p>
      </w:tc>
      <w:tc>
        <w:tcPr>
          <w:tcW w:type="dxa" w:w="4320"/>
          <w:vAlign w:val="center"/>
          <w:tcBorders>
            <w:top w:val="nil"/>
            <w:left w:val="nil"/>
            <w:bottom w:val="nil"/>
            <w:right w:val="nil"/>
          </w:tcBorders>
        </w:tcPr>
        <w:p>
          <w:pPr>
            <w:jc w:val="right"/>
          </w:pPr>
          <w:r>
            <w:rPr>
              <w:rFonts w:ascii="Calibri" w:hAnsi="Calibri"/>
              <w:color w:val="455A64"/>
              <w:sz w:val="18"/>
            </w:rPr>
            <w:t>(636) 224-8192  ·  kaitlyn@greencommllc.com</w:t>
          </w:r>
        </w:p>
      </w:tc>
    </w:tr>
  </w:tbl>
  <w:p>
    <w:pPr>
      <w:spacing w:before="80" w:after="0"/>
      <w:pBdr>
        <w:bottom w:val="single" w:sz="12" w:color="2E7D32"/>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