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40"/>
      </w:pPr>
      <w:r>
        <w:rPr>
          <w:rFonts w:ascii="Calibri" w:hAnsi="Calibri"/>
          <w:b/>
          <w:color w:val="2E7D32"/>
          <w:sz w:val="44"/>
        </w:rPr>
        <w:t>Qualifications</w:t>
      </w:r>
    </w:p>
    <w:p>
      <w:pPr>
        <w:keepNext/>
        <w:spacing w:after="40"/>
      </w:pPr>
      <w:r>
        <w:rPr>
          <w:rFonts w:ascii="Calibri" w:hAnsi="Calibri"/>
          <w:b w:val="0"/>
          <w:i w:val="0"/>
          <w:color w:val="455A64"/>
          <w:sz w:val="26"/>
        </w:rPr>
        <w:t>{{SITE_NAME}} — {{CITY_STATE}}</w:t>
      </w:r>
    </w:p>
    <w:p>
      <w:pPr>
        <w:keepNext/>
        <w:spacing w:after="160"/>
      </w:pPr>
      <w:r>
        <w:rPr>
          <w:rFonts w:ascii="Calibri" w:hAnsi="Calibri"/>
          <w:b w:val="0"/>
          <w:i w:val="0"/>
          <w:color w:val="455A64"/>
          <w:sz w:val="20"/>
        </w:rPr>
        <w:t>Firm profile  ·  Leadership  ·  Self-perform  ·  Insurance &amp; Bonding  ·  Track Record</w:t>
      </w:r>
    </w:p>
    <w:p>
      <w:pPr>
        <w:pBdr>
          <w:bottom w:val="single" w:sz="12" w:color="2E7D32"/>
        </w:pBdr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1.  Firm Profile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Green Communications Contracting LLC (GCC) is a specialty Division 27/28 low-voltage subcontractor serving the Kansas City Metropolitan Area and the St. Louis Metropolitan Area, plus adjacent Missouri and Kansas counties. Founded 2026 in O'Fallon, MO, and organized as a Missouri LLC (Secretary of State LC014709899).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cantSplit/>
          <w:tblHeader/>
        </w:trPr>
        <w:tc>
          <w:tcPr>
            <w:tcW w:type="dxa" w:w="259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34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Entity</w:t>
            </w:r>
          </w:p>
        </w:tc>
        <w:tc>
          <w:tcPr>
            <w:tcW w:type="dxa" w:w="73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Green Communications Contracting LLC (GCC LLC)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Entity type</w:t>
            </w:r>
          </w:p>
        </w:tc>
        <w:tc>
          <w:tcPr>
            <w:tcW w:type="dxa" w:w="73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Missouri limited liability company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Formation date</w:t>
            </w:r>
          </w:p>
        </w:tc>
        <w:tc>
          <w:tcPr>
            <w:tcW w:type="dxa" w:w="73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February 25, 2026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Trade scope</w:t>
            </w:r>
          </w:p>
        </w:tc>
        <w:tc>
          <w:tcPr>
            <w:tcW w:type="dxa" w:w="73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Division 27 Communications and Division 28 Electronic Safety &amp; Security cabling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Geographic coverage</w:t>
            </w:r>
          </w:p>
        </w:tc>
        <w:tc>
          <w:tcPr>
            <w:tcW w:type="dxa" w:w="73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KCMO &amp; STL metros + surrounding MO / KS counties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Primary contact</w:t>
            </w:r>
          </w:p>
        </w:tc>
        <w:tc>
          <w:tcPr>
            <w:tcW w:type="dxa" w:w="73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Kaitlyn Morris, President — kaitlyn@greencommllc.com — (636) 224-8192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Licensed &amp; insured</w:t>
            </w:r>
          </w:p>
        </w:tc>
        <w:tc>
          <w:tcPr>
            <w:tcW w:type="dxa" w:w="73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Yes — see §4 for limits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Registered agent</w:t>
            </w:r>
          </w:p>
        </w:tc>
        <w:tc>
          <w:tcPr>
            <w:tcW w:type="dxa" w:w="73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Kaitlyn L. Morris, 603 Seib Dr, O'Fallon, MO 63366-1384</w:t>
            </w:r>
          </w:p>
        </w:tc>
      </w:tr>
    </w:tbl>
    <w:p>
      <w:pPr>
        <w:spacing w:after="120"/>
      </w:pP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2.  Leadership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Kaitlyn Morris  —  President / CEO</w:t>
      </w: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Leads estimating, contracts, client relations, and day-to-day operations. Signs every Proposal Packet personally. Directly accountable to every GC and owner GCC serves. Reachable by cell during business hours.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Nathan Morris  —  Director of Operations</w:t>
      </w: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Leads field operations and QA. Twelve-plus years in healthcare IT infrastructure deployment, including PACS/RIS workflow systems, large-scale network infrastructure installs, and cross-functional QA across 600+ hospital projects nationwide.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3.  Self-Perform Statement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160"/>
      </w:pPr>
      <w:r>
        <w:rPr>
          <w:rFonts w:ascii="Calibri" w:hAnsi="Calibri"/>
          <w:b w:val="0"/>
          <w:i w:val="0"/>
          <w:color w:val="455A64"/>
          <w:sz w:val="20"/>
        </w:rPr>
        <w:t>GCC self-performs all low-voltage installation work with W-2 personnel and long-term 1099 contractors operating under GCC supervision. No cable pulls, terminations, or testing are subcontracted out — the crew that terminates every jack is on GCC's payroll or direct-hire roster.</w:t>
      </w:r>
    </w:p>
    <w:p>
      <w:pPr>
        <w:keepNext/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Subcontracted specialty trades (where applicable per job scope):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Core drilling — licensed concrete saw and core drill trade.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Firestopping — UL-listed firestop installer (when inside GCC scope; typically Exclusion C).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Fiber fusion — occasionally brought in for large singlemode projects; GCC also self-performs with in-house DSX-8000 + OTDR equipment.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4.  Insurance &amp; Bonding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Base coverage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Missouri Workers' Compensation: statutory; $1M per accident.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Commercial General Liability: $1M per occurrence / $2M aggregate.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Products / Completed Operations: $2M aggregate.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Commercial Auto: $1M combined single limit.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Professional / Errors &amp; Omissions: available on request.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Umbrella / Excess Liability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$1M standard; $2M or $5M available on request with 10 business days' notice.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Updated COI issued before mobilization naming GC and owner as Additional Insured where required.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Bonding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Bonded through a rated surety. Single-project limit and aggregate limit available on request.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Bond rates disclosed at bid; bond issued within 10 business days of award.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5.  Subcontractors &amp; Suppliers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Subcontractor and supplier selection on this job is driven by the Statement of Work and finalized at award. GCC maintains active accounts with the following manufacturers and distributors and self-performs cable install.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rPr>
          <w:cantSplit/>
          <w:tblHeader/>
        </w:trPr>
        <w:tc>
          <w:tcPr>
            <w:tcW w:type="dxa" w:w="331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62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Manufacturers / Suppliers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Structured cabling</w:t>
            </w:r>
          </w:p>
        </w:tc>
        <w:tc>
          <w:tcPr>
            <w:tcW w:type="dxa" w:w="662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Panduit, CommScope SYSTIMAX, Belden, Berk-Tek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Active networking (OFCI reference)</w:t>
            </w:r>
          </w:p>
        </w:tc>
        <w:tc>
          <w:tcPr>
            <w:tcW w:type="dxa" w:w="662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Ubiquiti UniFi, Cisco Meraki, Aruba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Cameras &amp; VMS (OFCI reference)</w:t>
            </w:r>
          </w:p>
        </w:tc>
        <w:tc>
          <w:tcPr>
            <w:tcW w:type="dxa" w:w="662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Avigilon, Axis, Bosch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Access control (OFCI reference)</w:t>
            </w:r>
          </w:p>
        </w:tc>
        <w:tc>
          <w:tcPr>
            <w:tcW w:type="dxa" w:w="662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HID / Mercury, Genetec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Fiber backbone</w:t>
            </w:r>
          </w:p>
        </w:tc>
        <w:tc>
          <w:tcPr>
            <w:tcW w:type="dxa" w:w="662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Corning, Sumitomo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Racks &amp; cable management</w:t>
            </w:r>
          </w:p>
        </w:tc>
        <w:tc>
          <w:tcPr>
            <w:tcW w:type="dxa" w:w="662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Chatsworth, Middle Atlantic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Firestop (as needed)</w:t>
            </w:r>
          </w:p>
        </w:tc>
        <w:tc>
          <w:tcPr>
            <w:tcW w:type="dxa" w:w="662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3M, STI, Hilti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Distributor</w:t>
            </w:r>
          </w:p>
        </w:tc>
        <w:tc>
          <w:tcPr>
            <w:tcW w:type="dxa" w:w="662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Graybar, Anixter, ADI Global</w:t>
            </w:r>
          </w:p>
        </w:tc>
      </w:tr>
    </w:tbl>
    <w:p>
      <w:pPr>
        <w:spacing w:after="120"/>
      </w:pP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6.  Track Record &amp; References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Representative projects and references. Additional references available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736"/>
        <w:gridCol w:w="1872"/>
        <w:gridCol w:w="2448"/>
      </w:tblGrid>
      <w:tr>
        <w:trPr>
          <w:cantSplit/>
          <w:tblHeader/>
        </w:trPr>
        <w:tc>
          <w:tcPr>
            <w:tcW w:type="dxa" w:w="288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273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Client / GC</w:t>
            </w:r>
          </w:p>
        </w:tc>
        <w:tc>
          <w:tcPr>
            <w:tcW w:type="dxa" w:w="187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Contract Value</w:t>
            </w:r>
          </w:p>
        </w:tc>
        <w:tc>
          <w:tcPr>
            <w:tcW w:type="dxa" w:w="244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 Contact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{{REF_PROJECT_1}}</w:t>
            </w:r>
          </w:p>
        </w:tc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{{REF_CLIENT_1}}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color w:val="455A64"/>
                <w:sz w:val="20"/>
              </w:rPr>
              <w:t>{{REF_VALUE_1}}</w:t>
            </w:r>
          </w:p>
        </w:tc>
        <w:tc>
          <w:tcPr>
            <w:tcW w:type="dxa" w:w="244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{{REF_CONTACT_1}}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{{REF_PROJECT_2}}</w:t>
            </w:r>
          </w:p>
        </w:tc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{{REF_CLIENT_2}}</w:t>
            </w:r>
          </w:p>
        </w:tc>
        <w:tc>
          <w:tcPr>
            <w:tcW w:type="dxa" w:w="187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color w:val="455A64"/>
                <w:sz w:val="20"/>
              </w:rPr>
              <w:t>{{REF_VALUE_2}}</w:t>
            </w:r>
          </w:p>
        </w:tc>
        <w:tc>
          <w:tcPr>
            <w:tcW w:type="dxa" w:w="244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{{REF_CONTACT_2}}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{{REF_PROJECT_3}}</w:t>
            </w:r>
          </w:p>
        </w:tc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{{REF_CLIENT_3}}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right"/>
            </w:pPr>
            <w:r>
              <w:rPr>
                <w:rFonts w:ascii="Calibri" w:hAnsi="Calibri"/>
                <w:color w:val="455A64"/>
                <w:sz w:val="20"/>
              </w:rPr>
              <w:t>{{REF_VALUE_3}}</w:t>
            </w:r>
          </w:p>
        </w:tc>
        <w:tc>
          <w:tcPr>
            <w:tcW w:type="dxa" w:w="244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{{REF_CONTACT_3}}</w:t>
            </w:r>
          </w:p>
        </w:tc>
      </w:tr>
    </w:tbl>
    <w:p>
      <w:pPr>
        <w:spacing w:after="120"/>
      </w:pP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7.  Capabilities Summary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Why GCs and owners award GCC: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Lifetime workmanship warranty on every cable installed — transfers with the property (see Standards section).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100% on-time delivery record — every substantial completion date hit on or before.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Fluke DSX-8000 certification on every drop — LinkWare PDF reports delivered at closeout.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Self-performs all cable install with W-2 / direct-hire crew. No brokering to 3rd-party labor shops.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Kaitlyn Morris signs every Proposal Packet and answers the phone — direct-to-principal for every issue.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Full coverage of Div 27 (Cat6A plenum, fiber, racks) and Div 28 (camera / ACS / intercom cabling).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Cat6A plenum included as standard on every GCC bid — no upcharge to the GC, even when base spec calls for Cat6. Cat6 substitute for Cat6A is never offered.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Covers KCMO and STL metros plus adjacent Missouri / Kansas counties with a single mobilization.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Active accounts with Panduit, CommScope, Corning, Belden, Chatsworth, Middle Atlantic, Graybar, Anixter, ADI Global.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10 / OSHA 30 field certifications maintained company-wide; on-site 2-person minimum always.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UniFi Managed Services offering available as post-award alternate on every whole-building job.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48640" cy="1846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mble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1846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vAlign w:val="center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8"/>
            </w:rPr>
            <w:t>(636) 224-8192  ·  kaitlyn@greencommllc.com</w:t>
          </w:r>
        </w:p>
      </w:tc>
    </w:tr>
  </w:tbl>
  <w:p>
    <w:pPr>
      <w:spacing w:before="80" w:after="0"/>
      <w:pBdr>
        <w:bottom w:val="single" w:sz="12" w:color="2E7D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