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40"/>
      </w:pPr>
      <w:r>
        <w:rPr>
          <w:rFonts w:ascii="Calibri" w:hAnsi="Calibri"/>
          <w:b/>
          <w:color w:val="2E7D32"/>
          <w:sz w:val="44"/>
        </w:rPr>
        <w:t>Standards</w:t>
      </w:r>
    </w:p>
    <w:p>
      <w:pPr>
        <w:keepNext/>
        <w:spacing w:after="40"/>
      </w:pPr>
      <w:r>
        <w:rPr>
          <w:rFonts w:ascii="Calibri" w:hAnsi="Calibri"/>
          <w:b w:val="0"/>
          <w:i w:val="0"/>
          <w:color w:val="455A64"/>
          <w:sz w:val="26"/>
        </w:rPr>
        <w:t>{{SITE_NAME}} — {{CITY_STATE}}</w:t>
      </w:r>
    </w:p>
    <w:p>
      <w:pPr>
        <w:keepNext/>
        <w:spacing w:after="280"/>
      </w:pPr>
      <w:r>
        <w:rPr>
          <w:rFonts w:ascii="Calibri" w:hAnsi="Calibri"/>
          <w:b w:val="0"/>
          <w:i w:val="0"/>
          <w:color w:val="455A64"/>
          <w:sz w:val="20"/>
        </w:rPr>
        <w:t>Warranty  ·  Testing &amp; Certification  · 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val="clear" w:color="auto" w:fill="FAF5E6"/>
            <w:tcBorders>
              <w:top w:val="single" w:sz="16" w:color="D4AF37"/>
              <w:left w:val="single" w:sz="16" w:color="D4AF37"/>
              <w:bottom w:val="single" w:sz="16" w:color="D4AF37"/>
              <w:right w:val="single" w:sz="16" w:color="D4AF37"/>
            </w:tcBorders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i/>
                <w:color w:val="2E7D32"/>
                <w:sz w:val="24"/>
              </w:rPr>
              <w:t>LIFETIME WORKMANSHIP — TRANSFERS WITH THE PROPERTY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Three-Tier Warranty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GCC warrants its installed low-voltage infrastructure at three levels. Each tier is distinct in duration and pass-through posture. Together they deliver the strongest coverage in the KCMO + STL Div 27/28 market.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2160"/>
      </w:tblGrid>
      <w:tr>
        <w:trPr>
          <w:cantSplit/>
          <w:tblHeader/>
        </w:trPr>
        <w:tc>
          <w:tcPr>
            <w:tcW w:type="dxa" w:w="259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518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Tier 1 — Lifetime Workmanship</w:t>
            </w:r>
          </w:p>
        </w:tc>
        <w:tc>
          <w:tcPr>
            <w:tcW w:type="dxa" w:w="51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All GCC installation labor. Covers wire-map errors, termination defects, labeling errors, physical install quality.</w:t>
            </w:r>
          </w:p>
        </w:tc>
        <w:tc>
          <w:tcPr>
            <w:tcW w:type="dxa" w:w="216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Lifetime — transfers with the property.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Tier 2 — 5-Year GCC-Furnished Hardware</w:t>
            </w:r>
          </w:p>
        </w:tc>
        <w:tc>
          <w:tcPr>
            <w:tcW w:type="dxa" w:w="518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GCC-furnished passive hardware (patch panels, jacks, faceplates, cable, fiber housings, racks, ladder racking) installed by GCC.</w:t>
            </w:r>
          </w:p>
        </w:tc>
        <w:tc>
          <w:tcPr>
            <w:tcW w:type="dxa" w:w="216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5 years from substantial completion.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Tier 3 — Manufacturer Pass-Through</w:t>
            </w:r>
          </w:p>
        </w:tc>
        <w:tc>
          <w:tcPr>
            <w:tcW w:type="dxa" w:w="518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All active equipment and any component carrying a manufacturer warranty. GCC processes RMAs on behalf of owner at no additional cost during the manufacturer period.</w:t>
            </w:r>
          </w:p>
        </w:tc>
        <w:tc>
          <w:tcPr>
            <w:tcW w:type="dxa" w:w="216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Per manufacturer — GCC facilitates.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What the Lifetime Workmanship Warranty does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Covers GCC's physical install: pull, dress, terminate, label.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Follows the property — future owners inherit the coverage on transfer of title, no paperwork.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GCC re-pulls, re-terminates, and re-certifies failing infrastructure on a service ticket at no cost for life.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Excludes damage from third-party work, environmental events, or owner modifications (Bid Proposal Exclusion §7.K).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2.  Testing &amp; Certification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Every copper drop and every fiber strand installed by GCC is certified before the substantial completion punch closes. Testing is evidence-based; LinkWare PDF reports are delivered at closeout.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Copper — every drop, Permanent Link test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Instrument: Fluke Networks DSX-8000 CableAnalyzer — the accepted industry standard.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Test class: Class EA (Cat6A) on every drop — GCC baseline is Cat6A plenum; Cat6 substitute is not offered.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Parameters reported: wire-map, length, insertion loss, return loss, NEXT, PS-NEXT, ACRF, PS-ACRF, propagation delay, delay skew.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Fail = re-terminate + re-certify. Drop is not closed until it passes.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Fiber — every strand, bidirectional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Bidirectional OTDR trace for each strand.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OLTS insertion loss verification end-to-end.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Fusion splice verified at ≤0.1 dB (typical ≤0.05 dB in-house).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Reporting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100% of installed infrastructure certified — no sampling. Every drop. Every strand.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LinkWare PDF reports delivered to GC and owner at closeout, indexed by Class 3 label.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Reports archived by GCC for life-of-installation reference.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3.  Compliance Standards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All work executed in compliance with the following published standards as a minimum. Stricter project spec governs when applicable.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cantSplit/>
          <w:tblHeader/>
        </w:trPr>
        <w:tc>
          <w:tcPr>
            <w:tcW w:type="dxa" w:w="259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734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TIA-568.2-D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Balanced twisted-pair telecommunications cabling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TIA-568.3-D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Optical fiber cabling components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TIA-569-D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Telecommunications pathways and spaces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TIA-606-C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Administration — Class 3 labeling (GCC default on every job)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TIA-607-D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Generic telecommunications bonding and grounding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BICSI TDMM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Telecommunications Distribution Methods Manual, 15th Edition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NEC / NFPA 70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National Electrical Code — applicable low-voltage sections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OSHA 29 CFR 1926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Construction safety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4.  Closeout Deliverables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Every GCC job closes with the following documentation package delivered to GC and owner.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LinkWare PDF test reports for every drop and every fiber strand, indexed by TIA-606-C Class 3 label.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As-built drawings reflecting any field routing deviations, cable counts per run, and MDF / IDF equipment layout.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Labeling schedule — every label printed, every drop accounted for.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Warranty registration package: Tier 1 workmanship transfer letter, Tier 2 5-year hardware registration, Tier 3 manufacturer warranty cards.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Owner training sign-off if in-scope per job.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5.  Field Staff Certifications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10-hour construction safety — minimum for every field tech.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30-hour construction safety — every foreman.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BICSI Installer Level 1 or 2 — every terminating tech.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Manufacturer-specific installation training where the cable system requires it (Panduit, CommScope, Corning).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Background check clearance on demand for K-12, healthcare, and federal sites.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1846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mble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1846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8"/>
            </w:rPr>
            <w:t>(636) 224-8192  ·  kaitlyn@greencommllc.com</w:t>
          </w:r>
        </w:p>
      </w:tc>
    </w:tr>
  </w:tbl>
  <w:p>
    <w:pPr>
      <w:spacing w:before="80" w:after="0"/>
      <w:pBdr>
        <w:bottom w:val="single" w:sz="12" w:color="2E7D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