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svg" ContentType="image/svg+xml"/>
  <Override PartName="/word/media/rId42.svg" ContentType="image/svg+xml"/>
  <Override PartName="/word/media/rId51.svg" ContentType="image/svg+xml"/>
  <Override PartName="/word/media/rId44.svg" ContentType="image/svg+xml"/>
  <Override PartName="/word/media/rId46.svg" ContentType="image/svg+xml"/>
  <Override PartName="/word/media/rId24.svg" ContentType="image/svg+xml"/>
  <Override PartName="/word/media/rId56.svg" ContentType="image/svg+xml"/>
  <Override PartName="/word/media/rId39.svg" ContentType="image/svg+xml"/>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dependence</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greenelab/clustermatch-gene-expr-manuscript@2d6b707</w:t>
        </w:r>
      </w:hyperlink>
      <w:r>
        <w:t xml:space="preserve"> </w:t>
      </w:r>
      <w:r>
        <w:t xml:space="preserve">on February 7, 2022.</w:t>
      </w:r>
      <w:r>
        <w:t xml:space="preserve"> </w:t>
      </w:r>
    </w:p>
    <w:p>
      <w:pPr>
        <w:pStyle w:val="BodyText"/>
      </w:pPr>
      <w:r>
        <w:t xml:space="preserve"> </w:t>
      </w:r>
      <w:r>
        <w:rPr>
          <w:bCs/>
          <w:b/>
        </w:rPr>
        <w:t xml:space="preserve">Draft</w:t>
      </w:r>
      <w:r>
        <w:t xml:space="preserve"> </w:t>
      </w:r>
      <w:r>
        <w:t xml:space="preserve">This manuscript version is work-in-progress</w:t>
      </w:r>
    </w:p>
    <w:bookmarkStart w:id="36" w:name="authors"/>
    <w:p>
      <w:pPr>
        <w:pStyle w:val="Heading2"/>
      </w:pPr>
      <w:r>
        <w:t xml:space="preserve">Authors</w:t>
      </w:r>
    </w:p>
    <w:p>
      <w:pPr>
        <w:numPr>
          <w:ilvl w:val="0"/>
          <w:numId w:val="1001"/>
        </w:numPr>
      </w:pPr>
      <w:r>
        <w:rPr>
          <w:bCs/>
          <w:b/>
        </w:rPr>
        <w:t xml:space="preserve">Milton Pividori</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miltondp</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7">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Marylyn D. Ritchie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dmilone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d1001</w:t>
        </w:r>
      </w:hyperlink>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cgreene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End w:id="36"/>
    <w:bookmarkStart w:id="37" w:name="abstract"/>
    <w:p>
      <w:pPr>
        <w:pStyle w:val="Heading2"/>
      </w:pPr>
      <w:r>
        <w:t xml:space="preserve">Abstract</w:t>
      </w:r>
    </w:p>
    <w:bookmarkEnd w:id="37"/>
    <w:bookmarkStart w:id="38" w:name="introduction"/>
    <w:p>
      <w:pPr>
        <w:pStyle w:val="Heading2"/>
      </w:pPr>
      <w:r>
        <w:t xml:space="preserve">Introduction</w:t>
      </w:r>
    </w:p>
    <w:bookmarkEnd w:id="38"/>
    <w:bookmarkStart w:id="54" w:name="results"/>
    <w:p>
      <w:pPr>
        <w:pStyle w:val="Heading2"/>
      </w:pPr>
      <w:r>
        <w:t xml:space="preserve">Results</w:t>
      </w:r>
    </w:p>
    <w:bookmarkStart w:id="41" w:name="X8e146d976ec449ec835bcf00a3c7e8f68799cab"/>
    <w:p>
      <w:pPr>
        <w:pStyle w:val="Heading3"/>
      </w:pPr>
      <w:r>
        <w:t xml:space="preserve">A robust and efficient not-only-linear dependence coefficient</w:t>
      </w:r>
    </w:p>
    <w:p>
      <w:pPr>
        <w:pStyle w:val="FirstParagraph"/>
      </w:pPr>
      <w:r>
        <w:t xml:space="preserve">Clustermatch is a dependence coefficient that can compute a similarity measure between any pair of variables, either with numerical or categorical values</w:t>
      </w:r>
      <w:r>
        <w:t xml:space="preserve"> </w:t>
      </w:r>
      <w:r>
        <w:t xml:space="preserve">[</w:t>
      </w:r>
      <w:hyperlink w:anchor="ref-VCRLONE">
        <w:r>
          <w:rPr>
            <w:rStyle w:val="Hyperlink"/>
          </w:rPr>
          <w:t xml:space="preserve">1</w:t>
        </w:r>
      </w:hyperlink>
      <w:r>
        <w:t xml:space="preserve">]</w:t>
      </w:r>
      <w:r>
        <w:t xml:space="preserve">.</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 clusterings on those</w:t>
      </w:r>
      <w:r>
        <w:t xml:space="preserve"> </w:t>
      </w:r>
      <m:oMath>
        <m:r>
          <m:t>n</m:t>
        </m:r>
      </m:oMath>
      <w:r>
        <w:t xml:space="preserve"> </w:t>
      </w:r>
      <w:r>
        <w:t xml:space="preserve">objects derived using each variable individually should match (see Methods).</w:t>
      </w:r>
      <w:r>
        <w:t xml:space="preserve"> </w:t>
      </w:r>
      <w:r>
        <w:t xml:space="preserve">Although different clustering algorithms can be applied to one-dimensional data</w:t>
      </w:r>
      <w:r>
        <w:t xml:space="preserve"> </w:t>
      </w:r>
      <w:r>
        <w:t xml:space="preserve">[</w:t>
      </w:r>
      <w:hyperlink w:anchor="ref-TnTsnQ9q">
        <w:r>
          <w:rPr>
            <w:rStyle w:val="Hyperlink"/>
          </w:rPr>
          <w:t xml:space="preserve">2</w:t>
        </w:r>
      </w:hyperlink>
      <w:r>
        <w:t xml:space="preserve">]</w:t>
      </w:r>
      <w:r>
        <w:t xml:space="preserve">, we used quantiles to efficiently separate data points into different clusters (i.e., the median separates numerical data into two clusters).</w:t>
      </w:r>
      <w:r>
        <w:t xml:space="preserve"> </w:t>
      </w:r>
      <w:r>
        <w:t xml:space="preserve">Since in Clustermatch the data is categorized into clusters, numerical and categorical data can be naturally integrated since clusters do not need an order.</w:t>
      </w:r>
      <w:r>
        <w:t xml:space="preserve"> </w:t>
      </w:r>
      <w:r>
        <w:t xml:space="preserve">Once all clusterings from each variable are generated, the Clustermatch coefficient is defined as the maximum adjusted Rand index (ARI)</w:t>
      </w:r>
      <w:r>
        <w:t xml:space="preserve"> </w:t>
      </w:r>
      <w:r>
        <w:t xml:space="preserve">[</w:t>
      </w:r>
      <w:hyperlink w:anchor="ref-e4AuoW8N">
        <w:r>
          <w:rPr>
            <w:rStyle w:val="Hyperlink"/>
          </w:rPr>
          <w:t xml:space="preserve">3</w:t>
        </w:r>
      </w:hyperlink>
      <w:r>
        <w:t xml:space="preserve">]</w:t>
      </w:r>
      <w:r>
        <w:t xml:space="preserve"> </w:t>
      </w:r>
      <w:r>
        <w:t xml:space="preserve">between them.</w:t>
      </w:r>
      <w:r>
        <w:t xml:space="preserve"> </w:t>
      </w:r>
      <w:r>
        <w:t xml:space="preserve">We previously compared Clustermatch</w:t>
      </w:r>
      <w:r>
        <w:t xml:space="preserve"> </w:t>
      </w:r>
      <w:r>
        <w:t xml:space="preserve">[</w:t>
      </w:r>
      <w:hyperlink w:anchor="ref-VCRLONE">
        <w:r>
          <w:rPr>
            <w:rStyle w:val="Hyperlink"/>
          </w:rPr>
          <w:t xml:space="preserve">1</w:t>
        </w:r>
      </w:hyperlink>
      <w:r>
        <w:t xml:space="preserve">]</w:t>
      </w:r>
      <w:r>
        <w:t xml:space="preserve"> </w:t>
      </w:r>
      <w:r>
        <w:t xml:space="preserve">with the Maximal Information Coefficient (MIC)</w:t>
      </w:r>
      <w:r>
        <w:t xml:space="preserve"> </w:t>
      </w:r>
      <w:r>
        <w:t xml:space="preserve">[</w:t>
      </w:r>
      <w:hyperlink w:anchor="ref-yCHLC0oS">
        <w:r>
          <w:rPr>
            <w:rStyle w:val="Hyperlink"/>
          </w:rPr>
          <w:t xml:space="preserve">4</w:t>
        </w:r>
      </w:hyperlink>
      <w:r>
        <w:t xml:space="preserve">]</w:t>
      </w:r>
      <w:r>
        <w:t xml:space="preserve"> </w:t>
      </w:r>
      <w:r>
        <w:t xml:space="preserve">and Distance Correlation (DC)</w:t>
      </w:r>
      <w:r>
        <w:t xml:space="preserve"> </w:t>
      </w:r>
      <w:r>
        <w:t xml:space="preserve">[</w:t>
      </w:r>
      <w:hyperlink w:anchor="ref-IvOGGmxI">
        <w:r>
          <w:rPr>
            <w:rStyle w:val="Hyperlink"/>
          </w:rPr>
          <w:t xml:space="preserve">5</w:t>
        </w:r>
      </w:hyperlink>
      <w:r>
        <w:t xml:space="preserve">]</w:t>
      </w:r>
      <w:r>
        <w:t xml:space="preserve">, two popular nonlinear correlation coefficients.</w:t>
      </w:r>
      <w:r>
        <w:t xml:space="preserve"> </w:t>
      </w:r>
      <w:r>
        <w:t xml:space="preserve">Clustermatch outperformed these two methods in a simulated scenario with several relationship types (linear and nonlinear) and noise levels.</w:t>
      </w:r>
      <w:r>
        <w:t xml:space="preserve"> </w:t>
      </w:r>
      <w:r>
        <w:t xml:space="preserve">Clustermatch was also significantly superior in computational complexity, making it the only practical not-only-linear coefficient for real and large datasets such as gene expression compendia.</w:t>
      </w:r>
      <w:r>
        <w:t xml:space="preserve"> </w:t>
      </w:r>
      <w:r>
        <w:t xml:space="preserve">This study focused on RNA-seq data from GTEx v8 and compared which patterns were detected or missed by these coefficients.</w:t>
      </w:r>
    </w:p>
    <w:bookmarkStart w:id="0" w:name="fig:datasets_rel"/>
    <w:p>
      <w:pPr>
        <w:pStyle w:val="CaptionedFigure"/>
      </w:pPr>
      <w:bookmarkStart w:id="40" w:name="fig:datasets_rel"/>
      <w:r>
        <w:drawing>
          <wp:inline>
            <wp:extent cx="5943600" cy="2919828"/>
            <wp:effectExtent b="0" l="0" r="0" t="0"/>
            <wp:docPr descr="Figure 1: Different types of relationships in data. Each panel contains a set of simulated data points described by two variables: x and y. The first row shows Anscombe’s quartet with four different datasets (from Anscombe I to IV) and 11 data points each. The second row contains a set of general patterns with 100 data points each. Each panel shows the correlation value using the Pearson (p), Spearman (s) and Clustermatch (c) coefficients. Vertical and horizontal lines show how Clustermatch partitioned data points using x and y, respectively." title="" id="1" name="Picture"/>
            <a:graphic>
              <a:graphicData uri="http://schemas.openxmlformats.org/drawingml/2006/picture">
                <pic:pic>
                  <pic:nvPicPr>
                    <pic:cNvPr descr="images/intro/relationships.svg" id="0" name="Picture"/>
                    <pic:cNvPicPr>
                      <a:picLocks noChangeArrowheads="1" noChangeAspect="1"/>
                    </pic:cNvPicPr>
                  </pic:nvPicPr>
                  <pic:blipFill>
                    <a:blip r:embed="rId39"/>
                    <a:stretch>
                      <a:fillRect/>
                    </a:stretch>
                  </pic:blipFill>
                  <pic:spPr bwMode="auto">
                    <a:xfrm>
                      <a:off x="0" y="0"/>
                      <a:ext cx="5943600" cy="2919828"/>
                    </a:xfrm>
                    <a:prstGeom prst="rect">
                      <a:avLst/>
                    </a:prstGeom>
                    <a:noFill/>
                    <a:ln w="9525">
                      <a:noFill/>
                      <a:headEnd/>
                      <a:tailEnd/>
                    </a:ln>
                  </pic:spPr>
                </pic:pic>
              </a:graphicData>
            </a:graphic>
          </wp:inline>
        </w:drawing>
      </w:r>
      <w:bookmarkEnd w:id="40"/>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the Pearson (</w:t>
      </w:r>
      <m:oMath>
        <m:r>
          <m:t>p</m:t>
        </m:r>
      </m:oMath>
      <w:r>
        <w:t xml:space="preserve">), Spearman (</w:t>
      </w:r>
      <m:oMath>
        <m:r>
          <m:t>s</m:t>
        </m:r>
      </m:oMath>
      <w:r>
        <w:t xml:space="preserve">) and Clustermatch (</w:t>
      </w:r>
      <m:oMath>
        <m:r>
          <m:t>c</m:t>
        </m:r>
      </m:oMath>
      <w:r>
        <w:t xml:space="preserve">) coefficients.</w:t>
      </w:r>
      <w:r>
        <w:t xml:space="preserve"> </w:t>
      </w:r>
      <w:r>
        <w:t xml:space="preserve">Vertical and horizontal lines show how Clustermatch partitioned data points using</w:t>
      </w:r>
      <w:r>
        <w:t xml:space="preserve"> </w:t>
      </w:r>
      <m:oMath>
        <m:r>
          <m:t>x</m:t>
        </m:r>
      </m:oMath>
      <w:r>
        <w:t xml:space="preserve"> </w:t>
      </w:r>
      <w:r>
        <w:t xml:space="preserve">and</w:t>
      </w:r>
      <w:r>
        <w:t xml:space="preserve"> </w:t>
      </w:r>
      <m:oMath>
        <m:r>
          <m:t>y</m:t>
        </m:r>
      </m:oMath>
      <w:r>
        <w:t xml:space="preserve">, respectively.</w:t>
      </w:r>
    </w:p>
    <w:bookmarkEnd w:id="0"/>
    <w:p>
      <w:pPr>
        <w:pStyle w:val="BodyText"/>
      </w:pPr>
      <w:r>
        <w:t xml:space="preserve">In Figure</w:t>
      </w:r>
      <w:r>
        <w:t xml:space="preserve"> </w:t>
      </w:r>
      <w:hyperlink w:anchor="fig:datasets_rel">
        <w:r>
          <w:rPr>
            <w:rStyle w:val="Hyperlink"/>
          </w:rPr>
          <w:t xml:space="preserve">1</w:t>
        </w:r>
      </w:hyperlink>
      <w:r>
        <w:t xml:space="preserve">, we show how Pearson (</w:t>
      </w:r>
      <m:oMath>
        <m:r>
          <m:t>p</m:t>
        </m:r>
      </m:oMath>
      <w:r>
        <w:t xml:space="preserve">), Spearman (</w:t>
      </w:r>
      <m:oMath>
        <m:r>
          <m:t>s</m:t>
        </m:r>
      </m:oMath>
      <w:r>
        <w:t xml:space="preserve">) and Clustermatch (</w:t>
      </w:r>
      <m:oMath>
        <m:r>
          <m:t>c</m:t>
        </m:r>
      </m:oMath>
      <w:r>
        <w:t xml:space="preserve">) behave on different data patterns, where red lines indicate how Clustermatch clusters data points using each feature individually (either</w:t>
      </w:r>
      <w:r>
        <w:t xml:space="preserve"> </w:t>
      </w:r>
      <m:oMath>
        <m:r>
          <m:t>x</m:t>
        </m:r>
      </m:oMath>
      <w:r>
        <w:t xml:space="preserve"> </w:t>
      </w:r>
      <w:r>
        <w:t xml:space="preserve">or</w:t>
      </w:r>
      <w:r>
        <w:t xml:space="preserve"> </w:t>
      </w:r>
      <m:oMath>
        <m:r>
          <m:t>y</m:t>
        </m:r>
      </m:oMath>
      <w:r>
        <w:t xml:space="preserve">).</w:t>
      </w:r>
      <w:r>
        <w:t xml:space="preserve"> </w:t>
      </w:r>
      <w:r>
        <w:t xml:space="preserve">In the first row of the figure, the classic Anscombe’s quartet</w:t>
      </w:r>
      <w:r>
        <w:t xml:space="preserve"> </w:t>
      </w:r>
      <w:r>
        <w:t xml:space="preserve">[</w:t>
      </w:r>
      <w:hyperlink w:anchor="ref-WP7yhZGS">
        <w:r>
          <w:rPr>
            <w:rStyle w:val="Hyperlink"/>
          </w:rPr>
          <w:t xml:space="preserve">6</w:t>
        </w:r>
      </w:hyperlink>
      <w:r>
        <w:t xml:space="preserve">]</w:t>
      </w:r>
      <w:r>
        <w:t xml:space="preserve"> </w:t>
      </w:r>
      <w:r>
        <w:t xml:space="preserve">is shown, which comprises four synthetic datasets with entirely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7</w:t>
        </w:r>
      </w:hyperlink>
      <w:r>
        <w:t xml:space="preserve">,</w:t>
      </w:r>
      <w:hyperlink w:anchor="ref-dvyMwrz9">
        <w:r>
          <w:rPr>
            <w:rStyle w:val="Hyperlink"/>
          </w:rPr>
          <w:t xml:space="preserve">8</w:t>
        </w:r>
      </w:hyperlink>
      <w:r>
        <w:t xml:space="preserve">,</w:t>
      </w:r>
      <w:hyperlink w:anchor="ref-FhufXP6P">
        <w:r>
          <w:rPr>
            <w:rStyle w:val="Hyperlink"/>
          </w:rPr>
          <w:t xml:space="preserve">9</w:t>
        </w:r>
      </w:hyperlink>
      <w:r>
        <w:t xml:space="preserve">]</w:t>
      </w:r>
      <w:r>
        <w:t xml:space="preserve">, are frequently used as a reminder of the importance of going beyond simple statistics, where either undesirable patterns (such as outliers) or desirable ones (such as nonlinear relationships reflecting real and complex biological relationships) can be masked by summary statistics.</w:t>
      </w:r>
      <w:r>
        <w:t xml:space="preserve"> </w:t>
      </w:r>
      <w:r>
        <w:t xml:space="preserve">For example, Anscombe I seems to show a noisy but clear linear pattern, similar to Anscombe III where the linearity is perfect besides one outlier.</w:t>
      </w:r>
      <w:r>
        <w:t xml:space="preserve"> </w:t>
      </w:r>
      <w:r>
        <w:t xml:space="preserve">For these two patterns, Clustermatch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the maximum value, correctly identifying the relationship.</w:t>
      </w:r>
      <w:r>
        <w:t xml:space="preserve"> </w:t>
      </w:r>
      <w:r>
        <w:t xml:space="preserve">Anscombe II seems to follow a quadratic relationship interpreted as a linear pattern by Pearson and Spearman, whereas Clustermatch yields a lower yet non-zero value of 0.34.</w:t>
      </w:r>
      <w:r>
        <w:t xml:space="preserve"> </w:t>
      </w:r>
      <w:r>
        <w:t xml:space="preserve">Anscombe IV shows a vertical line where</w:t>
      </w:r>
      <w:r>
        <w:t xml:space="preserve"> </w:t>
      </w:r>
      <m:oMath>
        <m:r>
          <m:t>x</m:t>
        </m:r>
      </m:oMath>
      <w:r>
        <w:t xml:space="preserve"> </w:t>
      </w:r>
      <w:r>
        <w:t xml:space="preserve">values are almost constant except for one outlier.</w:t>
      </w:r>
      <w:r>
        <w:t xml:space="preserve"> </w:t>
      </w:r>
      <w:r>
        <w:t xml:space="preserve">This outlier does not influence Clustermatch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variable pair does not fit the Clustermatch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always above or equal to 0.50.</w:t>
      </w:r>
      <w:r>
        <w:t xml:space="preserve"> </w:t>
      </w:r>
      <w:r>
        <w:t xml:space="preserve">The reason for this behavior is that these coefficients are based on data statistics such as the mean, standard deviation and, in the case of Spearman, data rankings, and these fall short in dealing with noisy data.</w:t>
      </w:r>
    </w:p>
    <w:p>
      <w:pPr>
        <w:pStyle w:val="BodyText"/>
      </w:pPr>
      <w:r>
        <w:t xml:space="preserve">The second row of Figure</w:t>
      </w:r>
      <w:r>
        <w:t xml:space="preserve"> </w:t>
      </w:r>
      <w:hyperlink w:anchor="fig:datasets_rel">
        <w:r>
          <w:rPr>
            <w:rStyle w:val="Hyperlink"/>
          </w:rPr>
          <w:t xml:space="preserve">1</w:t>
        </w:r>
      </w:hyperlink>
      <w:r>
        <w:t xml:space="preserve"> </w:t>
      </w:r>
      <w:r>
        <w:t xml:space="preserve">shows other simulated relationships with general nonlinear patterns, some of which were previously observed in gene expression data</w:t>
      </w:r>
      <w:r>
        <w:t xml:space="preserve"> </w:t>
      </w:r>
      <w:r>
        <w:t xml:space="preserve">[</w:t>
      </w:r>
      <w:hyperlink w:anchor="ref-yCHLC0oS">
        <w:r>
          <w:rPr>
            <w:rStyle w:val="Hyperlink"/>
          </w:rPr>
          <w:t xml:space="preserve">4</w:t>
        </w:r>
      </w:hyperlink>
      <w:r>
        <w:t xml:space="preserve">,</w:t>
      </w:r>
      <w:hyperlink w:anchor="ref-1AMcxTw9R">
        <w:r>
          <w:rPr>
            <w:rStyle w:val="Hyperlink"/>
          </w:rPr>
          <w:t xml:space="preserve">10</w:t>
        </w:r>
      </w:hyperlink>
      <w:r>
        <w:t xml:space="preserve">,</w:t>
      </w:r>
      <w:hyperlink w:anchor="ref-16ddFzCqe">
        <w:r>
          <w:rPr>
            <w:rStyle w:val="Hyperlink"/>
          </w:rPr>
          <w:t xml:space="preserve">11</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In this case, Clustermatch separates data points into different numbers of clusters which, when compared to each other, all give an ARI very close to zero (in fact, the maximum value</w:t>
      </w:r>
      <w:r>
        <w:t xml:space="preserve"> </w:t>
      </w:r>
      <m:oMath>
        <m:r>
          <m:t>c</m:t>
        </m:r>
        <m:r>
          <m:rPr>
            <m:sty m:val="p"/>
          </m:rPr>
          <m:t>=</m:t>
        </m:r>
        <m:r>
          <m:t>0.01</m:t>
        </m:r>
      </m:oMath>
      <w:r>
        <w:t xml:space="preserve">, is reached with five clusters using</w:t>
      </w:r>
      <w:r>
        <w:t xml:space="preserve"> </w:t>
      </w:r>
      <m:oMath>
        <m:r>
          <m:t>x</m:t>
        </m:r>
      </m:oMath>
      <w:r>
        <w:t xml:space="preserve"> </w:t>
      </w:r>
      <w:r>
        <w:t xml:space="preserve">and two using</w:t>
      </w:r>
      <w:r>
        <w:t xml:space="preserve"> </w:t>
      </w:r>
      <m:oMath>
        <m:r>
          <m:t>y</m:t>
        </m:r>
      </m:oMath>
      <w:r>
        <w:t xml:space="preserve">).</w:t>
      </w:r>
      <w:r>
        <w:t xml:space="preserve"> </w:t>
      </w:r>
      <w:r>
        <w:t xml:space="preserve">For the other three examples (quadratic, non-coexistence and two-lines), Pearson and Spearman generally fail to capture a clear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Clustermatch uses different degrees of complexity to capture the relationships.</w:t>
      </w:r>
      <w:r>
        <w:t xml:space="preserve"> </w:t>
      </w:r>
      <w:r>
        <w:t xml:space="preserve">For the non-coexistence pattern, where for instance one gene (</w:t>
      </w:r>
      <m:oMath>
        <m:r>
          <m:t>x</m:t>
        </m:r>
      </m:oMath>
      <w:r>
        <w:t xml:space="preserve">) might be expressed while the other one (</w:t>
      </w:r>
      <m:oMath>
        <m:r>
          <m:t>y</m:t>
        </m:r>
      </m:oMath>
      <w:r>
        <w:t xml:space="preserve">) is inhibited, Clustermatch only needs two clusters for both variables, similarly to a linear relationship (Anscombe I and III).</w:t>
      </w:r>
      <w:r>
        <w:t xml:space="preserve"> </w:t>
      </w:r>
      <w:r>
        <w:t xml:space="preserve">For the quadratic pattern, Clustermatch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either Pearson or Spearman does not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Clustermatch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need for visualization before drawing conclusions on summary statistics alone.</w:t>
      </w:r>
      <w:r>
        <w:t xml:space="preserve"> </w:t>
      </w:r>
      <w:r>
        <w:t xml:space="preserve">Although extra steps such as visual analyses are always necessary, larger datasets make it impossible to perform a manual assessment on each, for example, gene pair.</w:t>
      </w:r>
      <w:r>
        <w:t xml:space="preserve"> </w:t>
      </w:r>
      <w:r>
        <w:t xml:space="preserve">More advanced yet interpretable techniques, such as Clustermatch, could reduce the number of false positives/negatives to focus human validation on patterns that are more likely to be real.</w:t>
      </w:r>
      <w:r>
        <w:t xml:space="preserve"> </w:t>
      </w:r>
      <w:r>
        <w:t xml:space="preserve">Clustermatch has only one parameter:</w:t>
      </w:r>
      <w:r>
        <w:t xml:space="preserve"> </w:t>
      </w:r>
      <m:oMath>
        <m:sSub>
          <m:e>
            <m:r>
              <m:t>k</m:t>
            </m:r>
          </m:e>
          <m:sub>
            <m:r>
              <m:rPr>
                <m:sty m:val="p"/>
              </m:rPr>
              <m:t>m</m:t>
            </m:r>
            <m:r>
              <m:rPr>
                <m:sty m:val="p"/>
              </m:rPr>
              <m:t>a</m:t>
            </m:r>
            <m:r>
              <m:rPr>
                <m:sty m:val="p"/>
              </m:rPr>
              <m:t>x</m:t>
            </m:r>
          </m:sub>
        </m:sSub>
      </m:oMath>
      <w:r>
        <w:t xml:space="preserve">, the maximum number of internal clusters that the algorithm will use when partitioning data points.</w:t>
      </w:r>
      <w:r>
        <w:t xml:space="preserve"> </w:t>
      </w:r>
      <w:r>
        <w:t xml:space="preserve">As we showed in the examples above, this parameter can control the level of complexity the end-user desires to capture.</w:t>
      </w:r>
      <w:r>
        <w:t xml:space="preserve"> </w:t>
      </w:r>
      <w:r>
        <w:t xml:space="preserve">A value of</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makes the coefficient more leaned towards linear patterns, whereas higher values can detect other, more complex kinds of relationships.</w:t>
      </w:r>
      <w:r>
        <w:t xml:space="preserve"> </w:t>
      </w:r>
      <w:r>
        <w:t xml:space="preserve">We found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(the default value) approximates well the coefficient values for different types of patterns</w:t>
      </w:r>
      <w:r>
        <w:t xml:space="preserve"> </w:t>
      </w:r>
      <w:r>
        <w:t xml:space="preserve">[</w:t>
      </w:r>
      <w:hyperlink w:anchor="ref-VCRLONE">
        <w:r>
          <w:rPr>
            <w:rStyle w:val="Hyperlink"/>
          </w:rPr>
          <w:t xml:space="preserve">1</w:t>
        </w:r>
      </w:hyperlink>
      <w:r>
        <w:t xml:space="preserve">]</w:t>
      </w:r>
      <w:r>
        <w:t xml:space="preserve"> </w:t>
      </w:r>
      <w:r>
        <w:t xml:space="preserve">while balancing computing time and always keeping a close-to-zero value for random data, which is guaranteed by the adjusted-for-chance property of ARI</w:t>
      </w:r>
      <w:r>
        <w:t xml:space="preserve"> </w:t>
      </w:r>
      <w:r>
        <w:t xml:space="preserve">[</w:t>
      </w:r>
      <w:hyperlink w:anchor="ref-1HaffUr3r">
        <w:r>
          <w:rPr>
            <w:rStyle w:val="Hyperlink"/>
          </w:rPr>
          <w:t xml:space="preserve">12</w:t>
        </w:r>
      </w:hyperlink>
      <w:r>
        <w:t xml:space="preserve">]</w:t>
      </w:r>
      <w:r>
        <w:t xml:space="preserve">.</w:t>
      </w:r>
    </w:p>
    <w:p>
      <w:pPr>
        <w:pStyle w:val="BodyText"/>
      </w:pPr>
      <w:r>
        <w:t xml:space="preserve">The following sections compare the coefficients on real gene expression data and highlight some complex and potentially interesting relationships that only Clustermatch detects.</w:t>
      </w:r>
    </w:p>
    <w:bookmarkEnd w:id="41"/>
    <w:bookmarkStart w:id="50" w:name="X95243efc28f41b4fa47d4498df309be1bfdc970"/>
    <w:p>
      <w:pPr>
        <w:pStyle w:val="Heading3"/>
      </w:pPr>
      <w:r>
        <w:t xml:space="preserve">Clustermatch detects linear and nonlinear patterns in human transcriptomic data</w:t>
      </w:r>
    </w:p>
    <w:bookmarkStart w:id="0" w:name="fig:dist_coefs"/>
    <w:p>
      <w:pPr>
        <w:pStyle w:val="CaptionedFigure"/>
      </w:pPr>
      <w:bookmarkStart w:id="43" w:name="fig:dist_coefs"/>
      <w:r>
        <w:drawing>
          <wp:inline>
            <wp:extent cx="5943600" cy="4004504"/>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1" name="Picture"/>
            <a:graphic>
              <a:graphicData uri="http://schemas.openxmlformats.org/drawingml/2006/picture">
                <pic:pic>
                  <pic:nvPicPr>
                    <pic:cNvPr descr="images/coefs_comp/gtex_whole_blood/dist-main.svg" id="0" name="Picture"/>
                    <pic:cNvPicPr>
                      <a:picLocks noChangeArrowheads="1" noChangeAspect="1"/>
                    </pic:cNvPicPr>
                  </pic:nvPicPr>
                  <pic:blipFill>
                    <a:blip r:embed="rId42"/>
                    <a:stretch>
                      <a:fillRect/>
                    </a:stretch>
                  </pic:blipFill>
                  <pic:spPr bwMode="auto">
                    <a:xfrm>
                      <a:off x="0" y="0"/>
                      <a:ext cx="5943600" cy="4004504"/>
                    </a:xfrm>
                    <a:prstGeom prst="rect">
                      <a:avLst/>
                    </a:prstGeom>
                    <a:noFill/>
                    <a:ln w="9525">
                      <a:noFill/>
                      <a:headEnd/>
                      <a:tailEnd/>
                    </a:ln>
                  </pic:spPr>
                </pic:pic>
              </a:graphicData>
            </a:graphic>
          </wp:inline>
        </w:drawing>
      </w:r>
      <w:bookmarkEnd w:id="43"/>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We used gene expression data from GTEx v8 across different tissues.</w:t>
      </w:r>
      <w:r>
        <w:t xml:space="preserve"> </w:t>
      </w:r>
      <w:r>
        <w:t xml:space="preserve">We selected the top 5,000 genes with the largest variance for our initial analyses on whole blood and then computed the pairwise correlation matrix using Pearson, Spearman and Clustermatch.</w:t>
      </w:r>
      <w:r>
        <w:t xml:space="preserve"> </w:t>
      </w:r>
      <w:r>
        <w:t xml:space="preserve">In Figure</w:t>
      </w:r>
      <w:r>
        <w:t xml:space="preserve"> </w:t>
      </w:r>
      <w:hyperlink w:anchor="fig:dist_coefs">
        <w:r>
          <w:rPr>
            <w:rStyle w:val="Hyperlink"/>
          </w:rPr>
          <w:t xml:space="preserve">2</w:t>
        </w:r>
      </w:hyperlink>
      <w:r>
        <w:t xml:space="preserve"> </w:t>
      </w:r>
      <w:r>
        <w:t xml:space="preserve">a, we show how the pairwise correlation values distribute, where Clustermatch (mean=0.14, median=0.08, sd=0.15) has a much more skewed distribution than Pearson (mean=0.31, median=0.24, sd=0.24) and especially Spearman (mean=0.39, median=0.37, sd=0.26).</w:t>
      </w:r>
      <w:r>
        <w:t xml:space="preserve"> </w:t>
      </w:r>
      <w:r>
        <w:t xml:space="preserve">Coefficients reach 70% of gene pairs at</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w:t>
      </w:r>
      <w:r>
        <w:t xml:space="preserve">(Figure</w:t>
      </w:r>
      <w:r>
        <w:t xml:space="preserve"> </w:t>
      </w:r>
      <w:hyperlink w:anchor="fig:dist_coefs">
        <w:r>
          <w:rPr>
            <w:rStyle w:val="Hyperlink"/>
          </w:rPr>
          <w:t xml:space="preserve">2</w:t>
        </w:r>
      </w:hyperlink>
      <w:r>
        <w:t xml:space="preserve"> </w:t>
      </w:r>
      <w:r>
        <w:t xml:space="preserve">b).</w:t>
      </w:r>
      <w:r>
        <w:t xml:space="preserve"> </w:t>
      </w:r>
      <w:r>
        <w:t xml:space="preserve">Clustermatch and Spearman tend to agree more than any of these with Pearson, although many gene pairs seem to have a relatively higher value for Clustermatch (Figures</w:t>
      </w:r>
      <w:r>
        <w:t xml:space="preserve"> </w:t>
      </w:r>
      <w:hyperlink w:anchor="fig:dist_coefs">
        <w:r>
          <w:rPr>
            <w:rStyle w:val="Hyperlink"/>
          </w:rPr>
          <w:t xml:space="preserve">2</w:t>
        </w:r>
      </w:hyperlink>
      <w:r>
        <w:t xml:space="preserve"> </w:t>
      </w:r>
      <w:r>
        <w:t xml:space="preserve">c).</w:t>
      </w:r>
    </w:p>
    <w:bookmarkStart w:id="0" w:name="fig:upsetplot_coefs"/>
    <w:p>
      <w:pPr>
        <w:pStyle w:val="CaptionedFigure"/>
      </w:pPr>
      <w:bookmarkStart w:id="45" w:name="fig:upsetplot_coefs"/>
      <w:r>
        <w:drawing>
          <wp:inline>
            <wp:extent cx="5943600" cy="5625860"/>
            <wp:effectExtent b="0" l="0" r="0" t="0"/>
            <wp:docPr descr="Figure 3: Intersection of gene pairs with high and low coefficient values (GTEx v8, whole blood). a) UpSet plot with six categories (rows) grouping the 30% of the highest (green triangle) and lowest (red triangle) correlation values for each method. Columns show different intersections of categories grouped by agreements and disagreements. b) Hexagonal binning plots with examples of gene pairs where Clustermatch (c) disagrees with Pearson (p) and Spearman (s). For each method, green and red triangles indicate if the gene pair obtained a correlation among the top (green) or bottom (red) 30% of correlation values. No triangle means that the correlation value for the gene pair is between the 30th and 70th percentiles (neither low nor high). A logarithmic scale was used to color each hexagon." title="" id="1" name="Picture"/>
            <a:graphic>
              <a:graphicData uri="http://schemas.openxmlformats.org/drawingml/2006/picture">
                <pic:pic>
                  <pic:nvPicPr>
                    <pic:cNvPr descr="images/coefs_comp/gtex_whole_blood/upsetplot-main.svg" id="0" name="Picture"/>
                    <pic:cNvPicPr>
                      <a:picLocks noChangeArrowheads="1" noChangeAspect="1"/>
                    </pic:cNvPicPr>
                  </pic:nvPicPr>
                  <pic:blipFill>
                    <a:blip r:embed="rId44"/>
                    <a:stretch>
                      <a:fillRect/>
                    </a:stretch>
                  </pic:blipFill>
                  <pic:spPr bwMode="auto">
                    <a:xfrm>
                      <a:off x="0" y="0"/>
                      <a:ext cx="5943600" cy="5625860"/>
                    </a:xfrm>
                    <a:prstGeom prst="rect">
                      <a:avLst/>
                    </a:prstGeom>
                    <a:noFill/>
                    <a:ln w="9525">
                      <a:noFill/>
                      <a:headEnd/>
                      <a:tailEnd/>
                    </a:ln>
                  </pic:spPr>
                </pic:pic>
              </a:graphicData>
            </a:graphic>
          </wp:inline>
        </w:drawing>
      </w:r>
      <w:bookmarkEnd w:id="45"/>
    </w:p>
    <w:p>
      <w:pPr>
        <w:pStyle w:val="ImageCaption"/>
      </w:pPr>
      <w:r>
        <w:t xml:space="preserve">Figure 3:</w:t>
      </w:r>
      <w:r>
        <w:t xml:space="preserve"> </w:t>
      </w:r>
      <w:r>
        <w:rPr>
          <w:bCs/>
          <w:b/>
        </w:rPr>
        <w:t xml:space="preserve">Intersection of gene pairs with high and low coefficient values (GTEx v8, whole blood).</w:t>
      </w:r>
      <w:r>
        <w:t xml:space="preserve"> </w:t>
      </w:r>
      <w:r>
        <w:rPr>
          <w:bCs/>
          <w:b/>
        </w:rPr>
        <w:t xml:space="preserve">a)</w:t>
      </w:r>
      <w:r>
        <w:t xml:space="preserve"> </w:t>
      </w:r>
      <w:r>
        <w:t xml:space="preserve">UpSet plot with six categories (rows) grouping the 30% of the highest (green triangle) and lowest (red triangle) correlation values for each method.</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Clustermatch (</w:t>
      </w:r>
      <m:oMath>
        <m:r>
          <m:t>c</m:t>
        </m:r>
      </m:oMath>
      <w:r>
        <w:t xml:space="preserve">) disagrees with Pearson (</w:t>
      </w:r>
      <m:oMath>
        <m:r>
          <m:t>p</m:t>
        </m:r>
      </m:oMath>
      <w:r>
        <w:t xml:space="preserve">) and Spearman (</w:t>
      </w:r>
      <m:oMath>
        <m:r>
          <m:t>s</m:t>
        </m:r>
      </m:oMath>
      <w:r>
        <w:t xml:space="preserve">).</w:t>
      </w:r>
      <w:r>
        <w:t xml:space="preserve"> </w:t>
      </w:r>
      <w:r>
        <w:t xml:space="preserve">For each method, green and red triangles indicate if the gene pair obtained a correlation among the top (green) or bottom (red) 30% of correlation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A closer inspection of gene pairs detected and missed by these coefficients revealed the ability of Clustermatch to capture more complex yet biologically meaningful patterns.</w:t>
      </w:r>
      <w:r>
        <w:t xml:space="preserve"> </w:t>
      </w:r>
      <w:r>
        <w:t xml:space="preserve">For this, 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An UpSet plot</w:t>
      </w:r>
      <w:r>
        <w:t xml:space="preserve"> </w:t>
      </w:r>
      <w:r>
        <w:t xml:space="preserve">[</w:t>
      </w:r>
      <w:hyperlink w:anchor="ref-ZhJ7VK5R">
        <w:r>
          <w:rPr>
            <w:rStyle w:val="Hyperlink"/>
          </w:rPr>
          <w:t xml:space="preserve">13</w:t>
        </w:r>
      </w:hyperlink>
      <w:r>
        <w:t xml:space="preserve">]</w:t>
      </w:r>
      <w:r>
        <w:t xml:space="preserve"> </w:t>
      </w:r>
      <w:r>
        <w:t xml:space="preserve">is shown in Figure</w:t>
      </w:r>
      <w:r>
        <w:t xml:space="preserve"> </w:t>
      </w:r>
      <w:hyperlink w:anchor="fig:upsetplot_coefs">
        <w:r>
          <w:rPr>
            <w:rStyle w:val="Hyperlink"/>
          </w:rPr>
          <w:t xml:space="preserve">3</w:t>
        </w:r>
      </w:hyperlink>
      <w:r>
        <w:t xml:space="preserve"> </w:t>
      </w:r>
      <w:r>
        <w:t xml:space="preserve">a, where the intersections of these six categories allowed to precisely identify the gene expression patterns captured and missed by each coefficient.</w:t>
      </w:r>
      <w:r>
        <w:t xml:space="preserve"> </w:t>
      </w:r>
      <w:r>
        <w:t xml:space="preserve">For most cases, the three coefficients agree on whether there is a strong linear correlation (42.1%) and whether there is no relationship (34.3%).</w:t>
      </w:r>
      <w:r>
        <w:t xml:space="preserve"> </w:t>
      </w:r>
      <w:r>
        <w:t xml:space="preserve">This is crucial because it implies that the user will not miss important linear patterns in expression data when using Clustermatch.</w:t>
      </w:r>
      <w:r>
        <w:t xml:space="preserve"> </w:t>
      </w:r>
      <w:r>
        <w:t xml:space="preserve">The figure also confirms that Clustermatch and Spearman agree more on highly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Regarding disagreements, more than 20 thousand gene pairs (20,987) with a high Clustermatch value are not highly ranked by any other coefficients.</w:t>
      </w:r>
      <w:r>
        <w:t xml:space="preserve"> </w:t>
      </w:r>
      <w:r>
        <w:t xml:space="preserve">There are also gene pairs with a high Pearson value with either low Clustermatch (1,075) or low Clustermatch and low Spearman values (531).</w:t>
      </w:r>
      <w:r>
        <w:t xml:space="preserve"> </w:t>
      </w:r>
      <w:r>
        <w:t xml:space="preserve">However, these cases mostly seem to be driven by outliers (Figure</w:t>
      </w:r>
      <w:r>
        <w:t xml:space="preserve"> </w:t>
      </w:r>
      <w:hyperlink w:anchor="fig:upsetplot_coefs">
        <w:r>
          <w:rPr>
            <w:rStyle w:val="Hyperlink"/>
          </w:rPr>
          <w:t xml:space="preserve">3</w:t>
        </w:r>
      </w:hyperlink>
      <w:r>
        <w:t xml:space="preserve"> </w:t>
      </w:r>
      <w:r>
        <w:t xml:space="preserve">b).</w:t>
      </w:r>
      <w:r>
        <w:t xml:space="preserve"> </w:t>
      </w:r>
      <w:r>
        <w:t xml:space="preserve">Clustermatch does not miss gene pairs highly ranked by Spearman.</w:t>
      </w:r>
    </w:p>
    <w:p>
      <w:pPr>
        <w:pStyle w:val="BodyText"/>
      </w:pPr>
      <w:r>
        <w:t xml:space="preserve">Figure</w:t>
      </w:r>
      <w:r>
        <w:t xml:space="preserve"> </w:t>
      </w:r>
      <w:hyperlink w:anchor="fig:upsetplot_coefs">
        <w:r>
          <w:rPr>
            <w:rStyle w:val="Hyperlink"/>
          </w:rPr>
          <w:t xml:space="preserve">3</w:t>
        </w:r>
      </w:hyperlink>
      <w:r>
        <w:t xml:space="preserve"> </w:t>
      </w:r>
      <w:r>
        <w:t xml:space="preserve">b shows individual gene pairs among the top five of each intersection category in the</w:t>
      </w:r>
      <w:r>
        <w:t xml:space="preserve"> </w:t>
      </w:r>
      <w:r>
        <w:t xml:space="preserve">“</w:t>
      </w:r>
      <w:r>
        <w:t xml:space="preserve">Disagreements</w:t>
      </w:r>
      <w:r>
        <w:t xml:space="preserve">”</w:t>
      </w:r>
      <w:r>
        <w:t xml:space="preserve"> </w:t>
      </w:r>
      <w:r>
        <w:t xml:space="preserve">group where Clustermatch disagrees with either Pearson, Spearman or both.</w:t>
      </w:r>
      <w:r>
        <w:t xml:space="preserve"> </w:t>
      </w: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a high Clustermatch and low Pearson coefficient, seem to follow a non-coexistence relationship: in samples where one of the genes is highly (slightly) expressed, the other is slightly (highly) activated, suggesting a potential inhibiting effect.</w:t>
      </w:r>
      <w:r>
        <w:t xml:space="preserve"> </w:t>
      </w:r>
      <w:r>
        <w:t xml:space="preserve">The next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constant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paralogs, show a nonlinear relationship with a subset of samples following a robust linear pattern and another subset having a constant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and those with no expression for</w:t>
      </w:r>
      <w:r>
        <w:t xml:space="preserve"> </w:t>
      </w:r>
      <w:r>
        <w:rPr>
          <w:iCs/>
          <w:i/>
        </w:rPr>
        <w:t xml:space="preserve">UTY</w:t>
      </w:r>
      <w:r>
        <w:t xml:space="preserve"> </w:t>
      </w:r>
      <w:r>
        <w:t xml:space="preserve">are females.</w:t>
      </w:r>
      <w:r>
        <w:t xml:space="preserve"> </w:t>
      </w:r>
      <w:r>
        <w:t xml:space="preserve">This combination of linear and constant patterns is captured by Clustermatch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Clustermatch in all other tissues in GTEx, except for female-specific organs (Figure</w:t>
      </w:r>
      <w:r>
        <w:t xml:space="preserve"> </w:t>
      </w:r>
      <w:hyperlink w:anchor="fig:gtex_tissues:kdm6a_uty">
        <w:r>
          <w:rPr>
            <w:rStyle w:val="Hyperlink"/>
          </w:rPr>
          <w:t xml:space="preserve">4</w:t>
        </w:r>
      </w:hyperlink>
      <w:r>
        <w:t xml:space="preserve">).</w:t>
      </w:r>
    </w:p>
    <w:bookmarkStart w:id="0" w:name="fig:gtex_tissues:kdm6a_uty"/>
    <w:p>
      <w:pPr>
        <w:pStyle w:val="CaptionedFigure"/>
      </w:pPr>
      <w:bookmarkStart w:id="47" w:name="fig:gtex_tissues:kdm6a_uty"/>
      <w:r>
        <w:drawing>
          <wp:inline>
            <wp:extent cx="4276725" cy="5314950"/>
            <wp:effectExtent b="0" l="0" r="0" t="0"/>
            <wp:docPr descr="Figure 4: Scatter plots of genes KDM6A and UTY across different GTEx tissues. Clustermatch correctly captures the relationship in all GTEx tissues, and here we show nine of them in the first three rows. The last row shows three female-specific organs, where Clustermatch correctly finds no association." title="" id="1" name="Picture"/>
            <a:graphic>
              <a:graphicData uri="http://schemas.openxmlformats.org/drawingml/2006/picture">
                <pic:pic>
                  <pic:nvPicPr>
                    <pic:cNvPr descr="images/coefs_comp/kdm6a_vs_uty/gtex-KDM6A_vs_UTY.svg" id="0" name="Picture"/>
                    <pic:cNvPicPr>
                      <a:picLocks noChangeArrowheads="1" noChangeAspect="1"/>
                    </pic:cNvPicPr>
                  </pic:nvPicPr>
                  <pic:blipFill>
                    <a:blip r:embed="rId46"/>
                    <a:stretch>
                      <a:fillRect/>
                    </a:stretch>
                  </pic:blipFill>
                  <pic:spPr bwMode="auto">
                    <a:xfrm>
                      <a:off x="0" y="0"/>
                      <a:ext cx="4276725" cy="5314950"/>
                    </a:xfrm>
                    <a:prstGeom prst="rect">
                      <a:avLst/>
                    </a:prstGeom>
                    <a:noFill/>
                    <a:ln w="9525">
                      <a:noFill/>
                      <a:headEnd/>
                      <a:tailEnd/>
                    </a:ln>
                  </pic:spPr>
                </pic:pic>
              </a:graphicData>
            </a:graphic>
          </wp:inline>
        </w:drawing>
      </w:r>
      <w:bookmarkEnd w:id="47"/>
    </w:p>
    <w:p>
      <w:pPr>
        <w:pStyle w:val="ImageCaption"/>
      </w:pPr>
      <w:r>
        <w:t xml:space="preserve">Figure 4:</w:t>
      </w:r>
      <w:r>
        <w:t xml:space="preserve"> </w:t>
      </w:r>
      <w:r>
        <w:rPr>
          <w:bCs/>
          <w:b/>
        </w:rPr>
        <w:t xml:space="preserve">Scatter plots of genes</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across different GTEx tissues.</w:t>
      </w:r>
      <w:r>
        <w:t xml:space="preserve"> </w:t>
      </w:r>
      <w:r>
        <w:t xml:space="preserve">Clustermatch correctly captures the relationship in all GTEx tissues, and here we show nine of them in the first three rows.</w:t>
      </w:r>
      <w:r>
        <w:t xml:space="preserve"> </w:t>
      </w:r>
      <w:r>
        <w:t xml:space="preserve">The last row shows three female-specific organs, where Clustermatch correctly finds no association.</w:t>
      </w:r>
    </w:p>
    <w:bookmarkEnd w:id="0"/>
    <w:p>
      <w:pPr>
        <w:pStyle w:val="BodyText"/>
      </w:pPr>
      <w:r>
        <w:t xml:space="preserve">To study the other gene pairs found by the correlation coefficients, we used tissue-specific gene networks from GIANT</w:t>
      </w:r>
      <w:r>
        <w:t xml:space="preserve"> </w:t>
      </w:r>
      <w:r>
        <w:t xml:space="preserve">[</w:t>
      </w:r>
      <w:hyperlink w:anchor="ref-9ZXy7Ut2">
        <w:r>
          <w:rPr>
            <w:rStyle w:val="Hyperlink"/>
          </w:rPr>
          <w:t xml:space="preserve">14</w:t>
        </w:r>
      </w:hyperlink>
      <w:r>
        <w:t xml:space="preserve">]</w:t>
      </w:r>
      <w:r>
        <w:t xml:space="preserve">, where nodes represent genes and each edge a functional relationship weighted with a probability of interaction between two genes.</w:t>
      </w:r>
      <w:r>
        <w:t xml:space="preserve"> </w:t>
      </w:r>
      <w:r>
        <w:t xml:space="preserve">GIANT networks were built from 987 genome-scale data sets across approximately 38,000 conditions, including expression and different interaction measurements such as gene co-expression (using Pearson correlation), protein-interaction, transcription factor regulation, and chemical and genetic perturbations and microRNA target profiles from the Molecular Signatures Database (MSigDB</w:t>
      </w:r>
      <w:r>
        <w:t xml:space="preserve"> </w:t>
      </w:r>
      <w:r>
        <w:t xml:space="preserve">[</w:t>
      </w:r>
      <w:hyperlink w:anchor="ref-tt0Vdf4C">
        <w:r>
          <w:rPr>
            <w:rStyle w:val="Hyperlink"/>
          </w:rPr>
          <w:t xml:space="preserve">15</w:t>
        </w:r>
      </w:hyperlink>
      <w:r>
        <w:t xml:space="preserve">]</w:t>
      </w:r>
      <w:r>
        <w:t xml:space="preserve">).</w:t>
      </w:r>
      <w:r>
        <w:t xml:space="preserve"> </w:t>
      </w:r>
      <w:r>
        <w:t xml:space="preserve">Figure</w:t>
      </w:r>
      <w:r>
        <w:t xml:space="preserve"> </w:t>
      </w:r>
      <w:hyperlink w:anchor="fig:giant_gene_pairs">
        <w:r>
          <w:rPr>
            <w:rStyle w:val="Hyperlink"/>
          </w:rPr>
          <w:t xml:space="preserve">5</w:t>
        </w:r>
      </w:hyperlink>
      <w:r>
        <w:t xml:space="preserve"> </w:t>
      </w:r>
      <w:r>
        <w:t xml:space="preserve">shows blood-specific networks for each gene pair (Figure</w:t>
      </w:r>
      <w:r>
        <w:t xml:space="preserve"> </w:t>
      </w:r>
      <w:hyperlink w:anchor="fig:upsetplot_coefs">
        <w:r>
          <w:rPr>
            <w:rStyle w:val="Hyperlink"/>
          </w:rPr>
          <w:t xml:space="preserve">3</w:t>
        </w:r>
      </w:hyperlink>
      <w:r>
        <w:t xml:space="preserve"> </w:t>
      </w:r>
      <w:r>
        <w:t xml:space="preserve">b) for which genes are present in GIANT models.</w:t>
      </w:r>
      <w:r>
        <w:t xml:space="preserve"> </w:t>
      </w:r>
      <w:r>
        <w:t xml:space="preserve">Two large black nodes in the top-left and bottom-right corners represent our gene pairs.</w:t>
      </w:r>
      <w:r>
        <w:t xml:space="preserve"> </w:t>
      </w:r>
      <w:r>
        <w:t xml:space="preserve">A green edge means a close-to-zero probability of interaction, whereas a red edge represents a strong predicted relationship between two genes.</w:t>
      </w:r>
      <w:r>
        <w:t xml:space="preserve"> </w:t>
      </w:r>
      <w:r>
        <w:t xml:space="preserve">Interestingly, gene pairs highly ranked by Clustermatch are part of very cohesive networks.</w:t>
      </w:r>
      <w:r>
        <w:t xml:space="preserve"> </w:t>
      </w:r>
      <w:r>
        <w:t xml:space="preserve">For example, the average probability of gene connections with</w:t>
      </w:r>
      <w:r>
        <w:t xml:space="preserve"> </w:t>
      </w:r>
      <w:r>
        <w:rPr>
          <w:iCs/>
          <w:i/>
        </w:rPr>
        <w:t xml:space="preserve">IFNG</w:t>
      </w:r>
      <w:r>
        <w:t xml:space="preserve"> </w:t>
      </w:r>
      <w:r>
        <w:t xml:space="preserve">/</w:t>
      </w:r>
      <w:r>
        <w:t xml:space="preserve"> </w:t>
      </w:r>
      <w:r>
        <w:rPr>
          <w:iCs/>
          <w:i/>
        </w:rPr>
        <w:t xml:space="preserve">SDS</w:t>
      </w:r>
      <w:r>
        <w:t xml:space="preserve"> </w:t>
      </w:r>
      <w:r>
        <w:t xml:space="preserve">is very high, at least 0.79 for all other genes shown.</w:t>
      </w:r>
      <w:r>
        <w:t xml:space="preserve"> </w:t>
      </w:r>
      <w:r>
        <w:t xml:space="preserve">This minimum average with</w:t>
      </w:r>
      <w:r>
        <w:t xml:space="preserve"> </w:t>
      </w:r>
      <w:r>
        <w:rPr>
          <w:iCs/>
          <w:i/>
        </w:rPr>
        <w:t xml:space="preserve">JUN</w:t>
      </w:r>
      <w:r>
        <w:t xml:space="preserve"> </w:t>
      </w:r>
      <w:r>
        <w:t xml:space="preserve">/</w:t>
      </w:r>
      <w:r>
        <w:t xml:space="preserve"> </w:t>
      </w:r>
      <w:r>
        <w:rPr>
          <w:iCs/>
          <w:i/>
        </w:rPr>
        <w:t xml:space="preserve">APOC1</w:t>
      </w:r>
      <w:r>
        <w:t xml:space="preserve"> </w:t>
      </w:r>
      <w:r>
        <w:t xml:space="preserve">is 0.56, for</w:t>
      </w:r>
      <w:r>
        <w:t xml:space="preserve"> </w:t>
      </w:r>
      <w:r>
        <w:rPr>
          <w:iCs/>
          <w:i/>
        </w:rPr>
        <w:t xml:space="preserve">ZDHHC12</w:t>
      </w:r>
      <w:r>
        <w:t xml:space="preserve"> </w:t>
      </w:r>
      <w:r>
        <w:t xml:space="preserve">/</w:t>
      </w:r>
      <w:r>
        <w:t xml:space="preserve"> </w:t>
      </w:r>
      <w:r>
        <w:rPr>
          <w:iCs/>
          <w:i/>
        </w:rPr>
        <w:t xml:space="preserve">CCL18</w:t>
      </w:r>
      <w:r>
        <w:t xml:space="preserve"> </w:t>
      </w:r>
      <w:r>
        <w:t xml:space="preserve">is 0.34 (where</w:t>
      </w:r>
      <w:r>
        <w:t xml:space="preserve"> </w:t>
      </w:r>
      <w:r>
        <w:rPr>
          <w:iCs/>
          <w:i/>
        </w:rPr>
        <w:t xml:space="preserve">ZDHHC12</w:t>
      </w:r>
      <w:r>
        <w:t xml:space="preserve"> </w:t>
      </w:r>
      <w:r>
        <w:t xml:space="preserve">shows the weakest links although</w:t>
      </w:r>
      <w:r>
        <w:t xml:space="preserve"> </w:t>
      </w:r>
      <w:r>
        <w:rPr>
          <w:iCs/>
          <w:i/>
        </w:rPr>
        <w:t xml:space="preserve">CCL18</w:t>
      </w:r>
      <w:r>
        <w:t xml:space="preserve"> </w:t>
      </w:r>
      <w:r>
        <w:t xml:space="preserve">is strongly connected), and for</w:t>
      </w:r>
      <w:r>
        <w:t xml:space="preserve"> </w:t>
      </w:r>
      <w:r>
        <w:rPr>
          <w:iCs/>
          <w:i/>
        </w:rPr>
        <w:t xml:space="preserve">RASSF2</w:t>
      </w:r>
      <w:r>
        <w:t xml:space="preserve"> </w:t>
      </w:r>
      <w:r>
        <w:t xml:space="preserve">/</w:t>
      </w:r>
      <w:r>
        <w:t xml:space="preserve"> </w:t>
      </w:r>
      <w:r>
        <w:rPr>
          <w:iCs/>
          <w:i/>
        </w:rPr>
        <w:t xml:space="preserve">CYTIP</w:t>
      </w:r>
      <w:r>
        <w:t xml:space="preserve"> </w:t>
      </w:r>
      <w:r>
        <w:t xml:space="preserve">is 0.76.</w:t>
      </w:r>
      <w:r>
        <w:t xml:space="preserve"> </w:t>
      </w:r>
      <w:r>
        <w:t xml:space="preserve">Predicted networks for the two gene pairs prioritized by Pearson are much less cohesive, suggesting that the high correlation is mostly driven by outliers.</w:t>
      </w:r>
      <w:r>
        <w:t xml:space="preserve"> </w:t>
      </w:r>
      <w:r>
        <w:t xml:space="preserve">For example, the minimum/maximum average of interaction probabilities with</w:t>
      </w:r>
      <w:r>
        <w:t xml:space="preserve"> </w:t>
      </w:r>
      <w:r>
        <w:rPr>
          <w:iCs/>
          <w:i/>
        </w:rPr>
        <w:t xml:space="preserve">MYOZ1</w:t>
      </w:r>
      <w:r>
        <w:t xml:space="preserve"> </w:t>
      </w:r>
      <w:r>
        <w:t xml:space="preserve">/</w:t>
      </w:r>
      <w:r>
        <w:t xml:space="preserve"> </w:t>
      </w:r>
      <w:r>
        <w:rPr>
          <w:iCs/>
          <w:i/>
        </w:rPr>
        <w:t xml:space="preserve">TNNI2</w:t>
      </w:r>
      <w:r>
        <w:t xml:space="preserve"> </w:t>
      </w:r>
      <w:r>
        <w:t xml:space="preserve">is only 0.11/0.12, and for</w:t>
      </w:r>
      <w:r>
        <w:t xml:space="preserve"> </w:t>
      </w:r>
      <w:r>
        <w:rPr>
          <w:iCs/>
          <w:i/>
        </w:rPr>
        <w:t xml:space="preserve">PYGM</w:t>
      </w:r>
      <w:r>
        <w:t xml:space="preserve"> </w:t>
      </w:r>
      <w:r>
        <w:t xml:space="preserve">/</w:t>
      </w:r>
      <w:r>
        <w:t xml:space="preserve"> </w:t>
      </w:r>
      <w:r>
        <w:rPr>
          <w:iCs/>
          <w:i/>
        </w:rPr>
        <w:t xml:space="preserve">TPM2</w:t>
      </w:r>
      <w:r>
        <w:t xml:space="preserve"> </w:t>
      </w:r>
      <w:r>
        <w:t xml:space="preserve">is 0.13/0.24.</w:t>
      </w:r>
    </w:p>
    <w:bookmarkStart w:id="0" w:name="fig:giant_gene_pairs"/>
    <w:p>
      <w:pPr>
        <w:pStyle w:val="CaptionedFigure"/>
      </w:pPr>
      <w:bookmarkStart w:id="49" w:name="fig:giant_gene_pairs"/>
      <w:r>
        <w:drawing>
          <wp:inline>
            <wp:extent cx="4457700" cy="2562225"/>
            <wp:effectExtent b="0" l="0" r="0" t="0"/>
            <wp:docPr descr="Figure 5: Predicted tissue-specific networks from GIANT for each gene pairs prioritized by correlation coefficients. A node represents a gene and an edge the probability that two genes are part of the same biological process in a blood-related cell type (indicated at the top of each subfigure). A maximum of 15 genes are shown for each subfigure. The GIANT web application automatically determined a minimum weight for edges to be shown. These analyses can be performed online using the following links: IFNG / SDS [16]; JUN / APOC1 [17] ZDHHC12 / CCL18 [18] RASSF2 / CYTIP [19] MYOZ1 / TNNI2 [20] PYGM / TPM2 [21]" title="" id="1" name="Picture"/>
            <a:graphic>
              <a:graphicData uri="http://schemas.openxmlformats.org/drawingml/2006/picture">
                <pic:pic>
                  <pic:nvPicPr>
                    <pic:cNvPr descr="images/coefs_comp/giant_networks/main.svg" id="0" name="Picture"/>
                    <pic:cNvPicPr>
                      <a:picLocks noChangeArrowheads="1" noChangeAspect="1"/>
                    </pic:cNvPicPr>
                  </pic:nvPicPr>
                  <pic:blipFill>
                    <a:blip r:embed="rId48"/>
                    <a:stretch>
                      <a:fillRect/>
                    </a:stretch>
                  </pic:blipFill>
                  <pic:spPr bwMode="auto">
                    <a:xfrm>
                      <a:off x="0" y="0"/>
                      <a:ext cx="4457700" cy="2562225"/>
                    </a:xfrm>
                    <a:prstGeom prst="rect">
                      <a:avLst/>
                    </a:prstGeom>
                    <a:noFill/>
                    <a:ln w="9525">
                      <a:noFill/>
                      <a:headEnd/>
                      <a:tailEnd/>
                    </a:ln>
                  </pic:spPr>
                </pic:pic>
              </a:graphicData>
            </a:graphic>
          </wp:inline>
        </w:drawing>
      </w:r>
      <w:bookmarkEnd w:id="49"/>
    </w:p>
    <w:p>
      <w:pPr>
        <w:pStyle w:val="ImageCaption"/>
      </w:pPr>
      <w:r>
        <w:t xml:space="preserve">Figure 5:</w:t>
      </w:r>
      <w:r>
        <w:t xml:space="preserve"> </w:t>
      </w:r>
      <w:r>
        <w:rPr>
          <w:bCs/>
          <w:b/>
        </w:rPr>
        <w:t xml:space="preserve">Predicted tissue-specific networks from GIANT for each gene pairs prioritized by correlation coefficients.</w:t>
      </w:r>
      <w:r>
        <w:t xml:space="preserve"> </w:t>
      </w:r>
      <w:r>
        <w:t xml:space="preserve">A node represents a gene and an edge the probability that two genes are part of the same biological process in a blood-related cell type (indicated at the top of each subfigure).</w:t>
      </w:r>
      <w:r>
        <w:t xml:space="preserve"> </w:t>
      </w:r>
      <w:r>
        <w:t xml:space="preserve">A maximum of 15 genes are shown for each subfigure.</w:t>
      </w:r>
      <w:r>
        <w:t xml:space="preserve"> </w:t>
      </w:r>
      <w:r>
        <w:t xml:space="preserve">The GIANT web application automatically determined a minimum weight for edges to be shown.</w:t>
      </w:r>
      <w:r>
        <w:t xml:space="preserve"> </w:t>
      </w:r>
      <w:r>
        <w:t xml:space="preserve">These analyses can be performed online using the following links:</w:t>
      </w:r>
      <w:r>
        <w:t xml:space="preserve"> </w:t>
      </w:r>
      <w:r>
        <w:rPr>
          <w:iCs/>
          <w:i/>
        </w:rPr>
        <w:t xml:space="preserve">IFNG</w:t>
      </w:r>
      <w:r>
        <w:t xml:space="preserve"> </w:t>
      </w:r>
      <w:r>
        <w:t xml:space="preserve">/</w:t>
      </w:r>
      <w:r>
        <w:t xml:space="preserve"> </w:t>
      </w:r>
      <w:r>
        <w:rPr>
          <w:iCs/>
          <w:i/>
        </w:rPr>
        <w:t xml:space="preserve">SDS</w:t>
      </w:r>
      <w:r>
        <w:t xml:space="preserve"> </w:t>
      </w:r>
      <w:r>
        <w:t xml:space="preserve">[</w:t>
      </w:r>
      <w:hyperlink w:anchor="ref-KcdwueBe">
        <w:r>
          <w:rPr>
            <w:rStyle w:val="Hyperlink"/>
          </w:rPr>
          <w:t xml:space="preserve">16</w:t>
        </w:r>
      </w:hyperlink>
      <w:r>
        <w:t xml:space="preserve">]</w:t>
      </w:r>
      <w:r>
        <w:t xml:space="preserve">;</w:t>
      </w:r>
      <w:r>
        <w:t xml:space="preserve"> </w:t>
      </w:r>
      <w:r>
        <w:rPr>
          <w:iCs/>
          <w:i/>
        </w:rPr>
        <w:t xml:space="preserve">JUN</w:t>
      </w:r>
      <w:r>
        <w:t xml:space="preserve"> </w:t>
      </w:r>
      <w:r>
        <w:t xml:space="preserve">/</w:t>
      </w:r>
      <w:r>
        <w:t xml:space="preserve"> </w:t>
      </w:r>
      <w:r>
        <w:rPr>
          <w:iCs/>
          <w:i/>
        </w:rPr>
        <w:t xml:space="preserve">APOC1</w:t>
      </w:r>
      <w:r>
        <w:t xml:space="preserve"> </w:t>
      </w:r>
      <w:r>
        <w:t xml:space="preserve">[</w:t>
      </w:r>
      <w:hyperlink w:anchor="ref-fNQkvQLg">
        <w:r>
          <w:rPr>
            <w:rStyle w:val="Hyperlink"/>
          </w:rPr>
          <w:t xml:space="preserve">17</w:t>
        </w:r>
      </w:hyperlink>
      <w:r>
        <w:t xml:space="preserve">]</w:t>
      </w:r>
      <w:r>
        <w:t xml:space="preserve"> </w:t>
      </w:r>
      <w:r>
        <w:rPr>
          <w:iCs/>
          <w:i/>
        </w:rPr>
        <w:t xml:space="preserve">ZDHHC12</w:t>
      </w:r>
      <w:r>
        <w:t xml:space="preserve"> </w:t>
      </w:r>
      <w:r>
        <w:t xml:space="preserve">/</w:t>
      </w:r>
      <w:r>
        <w:t xml:space="preserve"> </w:t>
      </w:r>
      <w:r>
        <w:rPr>
          <w:iCs/>
          <w:i/>
        </w:rPr>
        <w:t xml:space="preserve">CCL18</w:t>
      </w:r>
      <w:r>
        <w:t xml:space="preserve"> </w:t>
      </w:r>
      <w:r>
        <w:t xml:space="preserve">[</w:t>
      </w:r>
      <w:hyperlink w:anchor="ref-7U8Feifj">
        <w:r>
          <w:rPr>
            <w:rStyle w:val="Hyperlink"/>
          </w:rPr>
          <w:t xml:space="preserve">18</w:t>
        </w:r>
      </w:hyperlink>
      <w:r>
        <w:t xml:space="preserve">]</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19</w:t>
        </w:r>
      </w:hyperlink>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20</w:t>
        </w:r>
      </w:hyperlink>
      <w:r>
        <w:t xml:space="preserve">]</w:t>
      </w:r>
      <w:r>
        <w:t xml:space="preserve"> </w:t>
      </w:r>
      <w:r>
        <w:rPr>
          <w:iCs/>
          <w:i/>
        </w:rPr>
        <w:t xml:space="preserve">PYGM</w:t>
      </w:r>
      <w:r>
        <w:t xml:space="preserve"> </w:t>
      </w:r>
      <w:r>
        <w:t xml:space="preserve">/</w:t>
      </w:r>
      <w:r>
        <w:t xml:space="preserve"> </w:t>
      </w:r>
      <w:r>
        <w:rPr>
          <w:iCs/>
          <w:i/>
        </w:rPr>
        <w:t xml:space="preserve">TPM2</w:t>
      </w:r>
      <w:r>
        <w:t xml:space="preserve"> </w:t>
      </w:r>
      <w:r>
        <w:t xml:space="preserve">[</w:t>
      </w:r>
      <w:hyperlink w:anchor="ref-irsTxKvs">
        <w:r>
          <w:rPr>
            <w:rStyle w:val="Hyperlink"/>
          </w:rPr>
          <w:t xml:space="preserve">21</w:t>
        </w:r>
      </w:hyperlink>
      <w:r>
        <w:t xml:space="preserve">]</w:t>
      </w:r>
    </w:p>
    <w:bookmarkEnd w:id="0"/>
    <w:bookmarkEnd w:id="50"/>
    <w:bookmarkStart w:id="53" w:name="X5d3f58d2eff3e7eb9ae5a757db0e05d6f018887"/>
    <w:p>
      <w:pPr>
        <w:pStyle w:val="Heading3"/>
      </w:pPr>
      <w:r>
        <w:t xml:space="preserve">Clustermatch and Maximal Information Coefficient strongly agree on gene pair prioritization</w:t>
      </w:r>
    </w:p>
    <w:bookmarkStart w:id="0" w:name="fig:dist_coefs_mic"/>
    <w:p>
      <w:pPr>
        <w:pStyle w:val="CaptionedFigure"/>
      </w:pPr>
      <w:bookmarkStart w:id="52" w:name="fig:dist_coefs_mic"/>
      <w:r>
        <w:drawing>
          <wp:inline>
            <wp:extent cx="5943600" cy="4004504"/>
            <wp:effectExtent b="0" l="0" r="0" t="0"/>
            <wp:docPr descr="Figure 6: Distribution of Maximal Information Coefficient (MIC) and comparison with other methods. Given the high time complexity of MIC, approximately 1% of gene pairs were sampled from our previous set of 5,000 genes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1" name="Picture"/>
            <a:graphic>
              <a:graphicData uri="http://schemas.openxmlformats.org/drawingml/2006/picture">
                <pic:pic>
                  <pic:nvPicPr>
                    <pic:cNvPr descr="images/coefs_comp/gtex_whole_blood/mic/dist-main.svg" id="0" name="Picture"/>
                    <pic:cNvPicPr>
                      <a:picLocks noChangeArrowheads="1" noChangeAspect="1"/>
                    </pic:cNvPicPr>
                  </pic:nvPicPr>
                  <pic:blipFill>
                    <a:blip r:embed="rId51"/>
                    <a:stretch>
                      <a:fillRect/>
                    </a:stretch>
                  </pic:blipFill>
                  <pic:spPr bwMode="auto">
                    <a:xfrm>
                      <a:off x="0" y="0"/>
                      <a:ext cx="5943600" cy="4004504"/>
                    </a:xfrm>
                    <a:prstGeom prst="rect">
                      <a:avLst/>
                    </a:prstGeom>
                    <a:noFill/>
                    <a:ln w="9525">
                      <a:noFill/>
                      <a:headEnd/>
                      <a:tailEnd/>
                    </a:ln>
                  </pic:spPr>
                </pic:pic>
              </a:graphicData>
            </a:graphic>
          </wp:inline>
        </w:drawing>
      </w:r>
      <w:bookmarkEnd w:id="52"/>
    </w:p>
    <w:p>
      <w:pPr>
        <w:pStyle w:val="ImageCaption"/>
      </w:pPr>
      <w:r>
        <w:t xml:space="preserve">Figure 6:</w:t>
      </w:r>
      <w:r>
        <w:t xml:space="preserve"> </w:t>
      </w:r>
      <w:r>
        <w:rPr>
          <w:bCs/>
          <w:b/>
        </w:rPr>
        <w:t xml:space="preserve">Distribution of Maximal Information Coefficient (MIC) and comparison with other methods.</w:t>
      </w:r>
      <w:r>
        <w:t xml:space="preserve"> </w:t>
      </w:r>
      <w:r>
        <w:t xml:space="preserve">Given the high time complexity of MIC, approximately 1% of gene pairs were sampled from our previous set of 5,000 genes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Finally, we compared all the coefficients with the Maximal Information Coefficient (MIC</w:t>
      </w:r>
      <w:r>
        <w:t xml:space="preserve"> </w:t>
      </w:r>
      <w:r>
        <w:t xml:space="preserve">[</w:t>
      </w:r>
      <w:hyperlink w:anchor="ref-tbcQL0eR">
        <w:r>
          <w:rPr>
            <w:rStyle w:val="Hyperlink"/>
          </w:rPr>
          <w:t xml:space="preserve">22</w:t>
        </w:r>
      </w:hyperlink>
      <w:r>
        <w:t xml:space="preserve">]</w:t>
      </w:r>
      <w:r>
        <w:t xml:space="preserve">), a popular nonlinear method that can find complex relationships in data, although very expensive in computational terms.</w:t>
      </w:r>
      <w:r>
        <w:t xml:space="preserve"> </w:t>
      </w:r>
      <w:r>
        <w:t xml:space="preserve">To circumvent this limitation of MIC, we took a small random sample of 100,000 gene pairs from all possible pairwise comparisons of our set with 5,000 highly variable genes from whole blood in GTEx v8.</w:t>
      </w:r>
      <w:r>
        <w:t xml:space="preserve"> </w:t>
      </w:r>
      <w:r>
        <w:t xml:space="preserve">Then we performed the same analysis on the distribution of coefficients, shown in Figure</w:t>
      </w:r>
      <w:r>
        <w:t xml:space="preserve"> </w:t>
      </w:r>
      <w:hyperlink w:anchor="fig:dist_coefs_mic">
        <w:r>
          <w:rPr>
            <w:rStyle w:val="Hyperlink"/>
          </w:rPr>
          <w:t xml:space="preserve">6</w:t>
        </w:r>
      </w:hyperlink>
      <w:r>
        <w:t xml:space="preserve">.</w:t>
      </w:r>
      <w:r>
        <w:t xml:space="preserve"> </w:t>
      </w:r>
      <w:r>
        <w:t xml:space="preserve">We verified that Clustermatch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compare very similarly with Pearson and Spearman.</w:t>
      </w:r>
      <w:r>
        <w:t xml:space="preserve"> </w:t>
      </w:r>
      <w:r>
        <w:t xml:space="preserve">This result is important because MIC represented an important step in correlation analysis research, and it has been successfully used in various application domains</w:t>
      </w:r>
      <w:r>
        <w:t xml:space="preserve"> </w:t>
      </w:r>
      <w:r>
        <w:t xml:space="preserve">[</w:t>
      </w:r>
      <w:hyperlink w:anchor="ref-NnsqWXcp">
        <w:r>
          <w:rPr>
            <w:rStyle w:val="Hyperlink"/>
          </w:rPr>
          <w:t xml:space="preserve">23</w:t>
        </w:r>
      </w:hyperlink>
      <w:r>
        <w:t xml:space="preserve">,</w:t>
      </w:r>
      <w:hyperlink w:anchor="ref-g8HrFUfP">
        <w:r>
          <w:rPr>
            <w:rStyle w:val="Hyperlink"/>
          </w:rPr>
          <w:t xml:space="preserve">24</w:t>
        </w:r>
      </w:hyperlink>
      <w:r>
        <w:t xml:space="preserve">,</w:t>
      </w:r>
      <w:hyperlink w:anchor="ref-iZjSr8s2">
        <w:r>
          <w:rPr>
            <w:rStyle w:val="Hyperlink"/>
          </w:rPr>
          <w:t xml:space="preserve">25</w:t>
        </w:r>
      </w:hyperlink>
      <w:r>
        <w:t xml:space="preserve">]</w:t>
      </w:r>
      <w:r>
        <w:t xml:space="preserve">.</w:t>
      </w:r>
      <w:r>
        <w:t xml:space="preserve"> </w:t>
      </w:r>
      <w:r>
        <w:t xml:space="preserve">However, the use of MIC in large datasets remained limited due to its very long computation time.</w:t>
      </w:r>
      <w:r>
        <w:t xml:space="preserve"> </w:t>
      </w:r>
      <w:r>
        <w:t xml:space="preserve">Our work and analyses suggest that Clustermatch could be an equally effective but much more efficient next-generation correlation coefficient.</w:t>
      </w:r>
    </w:p>
    <w:bookmarkEnd w:id="53"/>
    <w:bookmarkEnd w:id="54"/>
    <w:bookmarkStart w:id="55" w:name="discussion"/>
    <w:p>
      <w:pPr>
        <w:pStyle w:val="Heading2"/>
      </w:pPr>
      <w:r>
        <w:t xml:space="preserve">Discussion</w:t>
      </w:r>
    </w:p>
    <w:bookmarkEnd w:id="55"/>
    <w:bookmarkStart w:id="58" w:name="methods"/>
    <w:p>
      <w:pPr>
        <w:pStyle w:val="Heading2"/>
      </w:pPr>
      <w:r>
        <w:t xml:space="preserve">Methods</w:t>
      </w:r>
    </w:p>
    <w:bookmarkStart w:id="57" w:name="clustermatch-algorithm"/>
    <w:p>
      <w:pPr>
        <w:pStyle w:val="Heading3"/>
      </w:pPr>
      <w:r>
        <w:t xml:space="preserve">Clustermatch algorithm</w:t>
      </w:r>
    </w:p>
    <w:p>
      <w:pPr>
        <w:pStyle w:val="Figure"/>
      </w:pPr>
      <w:r>
        <w:drawing>
          <wp:inline>
            <wp:extent cx="4324350" cy="4495800"/>
            <wp:effectExtent b="0" l="0" r="0" t="0"/>
            <wp:docPr descr="" title="" id="1" name="Picture"/>
            <a:graphic>
              <a:graphicData uri="http://schemas.openxmlformats.org/drawingml/2006/picture">
                <pic:pic>
                  <pic:nvPicPr>
                    <pic:cNvPr descr="images/intro/clustermatch_algorithm.svg" id="0" name="Picture"/>
                    <pic:cNvPicPr>
                      <a:picLocks noChangeArrowheads="1" noChangeAspect="1"/>
                    </pic:cNvPicPr>
                  </pic:nvPicPr>
                  <pic:blipFill>
                    <a:blip r:embed="rId56"/>
                    <a:stretch>
                      <a:fillRect/>
                    </a:stretch>
                  </pic:blipFill>
                  <pic:spPr bwMode="auto">
                    <a:xfrm>
                      <a:off x="0" y="0"/>
                      <a:ext cx="4324350" cy="4495800"/>
                    </a:xfrm>
                    <a:prstGeom prst="rect">
                      <a:avLst/>
                    </a:prstGeom>
                    <a:noFill/>
                    <a:ln w="9525">
                      <a:noFill/>
                      <a:headEnd/>
                      <a:tailEnd/>
                    </a:ln>
                  </pic:spPr>
                </pic:pic>
              </a:graphicData>
            </a:graphic>
          </wp:inline>
        </w:drawing>
      </w:r>
    </w:p>
    <w:bookmarkEnd w:id="57"/>
    <w:bookmarkEnd w:id="58"/>
    <w:bookmarkStart w:id="137" w:name="references"/>
    <w:p>
      <w:pPr>
        <w:pStyle w:val="Heading2"/>
      </w:pPr>
      <w:r>
        <w:t xml:space="preserve">References</w:t>
      </w:r>
    </w:p>
    <w:bookmarkStart w:id="136" w:name="refs"/>
    <w:bookmarkStart w:id="62" w:name="ref-VCRLONE"/>
    <w:p>
      <w:pPr>
        <w:pStyle w:val="Bibliography"/>
      </w:pPr>
      <w:r>
        <w:t xml:space="preserve">1.</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(2019-06-01)</w:t>
      </w:r>
      <w:r>
        <w:t xml:space="preserve"> </w:t>
      </w:r>
      <w:hyperlink r:id="rId59">
        <w:r>
          <w:rPr>
            <w:rStyle w:val="Hyperlink"/>
          </w:rPr>
          <w:t xml:space="preserve">https://doi.org/gfg4bt</w:t>
        </w:r>
      </w:hyperlink>
      <w:r>
        <w:t xml:space="preserve"> </w:t>
      </w:r>
      <w:r>
        <w:t xml:space="preserve">DOI:</w:t>
      </w:r>
      <w:r>
        <w:t xml:space="preserve"> </w:t>
      </w:r>
      <w:hyperlink r:id="rId60">
        <w:r>
          <w:rPr>
            <w:rStyle w:val="Hyperlink"/>
          </w:rPr>
          <w:t xml:space="preserve">10.1093/bioinformatics/bty899</w:t>
        </w:r>
      </w:hyperlink>
      <w:r>
        <w:t xml:space="preserve"> </w:t>
      </w:r>
      <w:r>
        <w:t xml:space="preserve">· PMID:</w:t>
      </w:r>
      <w:r>
        <w:t xml:space="preserve"> </w:t>
      </w:r>
      <w:hyperlink r:id="rId61">
        <w:r>
          <w:rPr>
            <w:rStyle w:val="Hyperlink"/>
          </w:rPr>
          <w:t xml:space="preserve">30357313</w:t>
        </w:r>
      </w:hyperlink>
    </w:p>
    <w:bookmarkEnd w:id="62"/>
    <w:bookmarkStart w:id="63" w:name="ref-TnTsnQ9q"/>
    <w:p>
      <w:pPr>
        <w:pStyle w:val="Bibliography"/>
      </w:pPr>
      <w:r>
        <w:t xml:space="preserve">2.</w:t>
      </w:r>
      <w:r>
        <w:t xml:space="preserve"> </w:t>
      </w:r>
      <w:r>
        <w:t xml:space="preserve">	</w:t>
      </w:r>
      <w:r>
        <w:rPr>
          <w:bCs/>
          <w:b/>
        </w:rPr>
        <w:t xml:space="preserve">The Data Model Concept in Statistical mapping</w:t>
      </w:r>
      <w:r>
        <w:t xml:space="preserve"> </w:t>
      </w:r>
      <w:r>
        <w:t xml:space="preserve">George F Jenks</w:t>
      </w:r>
      <w:r>
        <w:t xml:space="preserve"> </w:t>
      </w:r>
      <w:r>
        <w:rPr>
          <w:iCs/>
          <w:i/>
        </w:rPr>
        <w:t xml:space="preserve">International Yearbook of Cartography</w:t>
      </w:r>
      <w:r>
        <w:t xml:space="preserve"> </w:t>
      </w:r>
      <w:r>
        <w:t xml:space="preserve">(1967)</w:t>
      </w:r>
    </w:p>
    <w:bookmarkEnd w:id="63"/>
    <w:bookmarkStart w:id="66" w:name="ref-e4AuoW8N"/>
    <w:p>
      <w:pPr>
        <w:pStyle w:val="Bibliography"/>
      </w:pPr>
      <w:r>
        <w:t xml:space="preserve">3.</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64">
        <w:r>
          <w:rPr>
            <w:rStyle w:val="Hyperlink"/>
          </w:rPr>
          <w:t xml:space="preserve">https://doi.org/bphmzh</w:t>
        </w:r>
      </w:hyperlink>
      <w:r>
        <w:t xml:space="preserve"> </w:t>
      </w:r>
      <w:r>
        <w:t xml:space="preserve">DOI:</w:t>
      </w:r>
      <w:r>
        <w:t xml:space="preserve"> </w:t>
      </w:r>
      <w:hyperlink r:id="rId65">
        <w:r>
          <w:rPr>
            <w:rStyle w:val="Hyperlink"/>
          </w:rPr>
          <w:t xml:space="preserve">10.1007/bf01908075</w:t>
        </w:r>
      </w:hyperlink>
    </w:p>
    <w:bookmarkEnd w:id="66"/>
    <w:bookmarkStart w:id="71" w:name="ref-yCHLC0oS"/>
    <w:p>
      <w:pPr>
        <w:pStyle w:val="Bibliography"/>
      </w:pPr>
      <w:r>
        <w:t xml:space="preserve">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67">
        <w:r>
          <w:rPr>
            <w:rStyle w:val="Hyperlink"/>
          </w:rPr>
          <w:t xml:space="preserve">https://doi.org/bzn5c3</w:t>
        </w:r>
      </w:hyperlink>
      <w:r>
        <w:t xml:space="preserve"> </w:t>
      </w:r>
      <w:r>
        <w:t xml:space="preserve">DOI:</w:t>
      </w:r>
      <w:r>
        <w:t xml:space="preserve"> </w:t>
      </w:r>
      <w:hyperlink r:id="rId68">
        <w:r>
          <w:rPr>
            <w:rStyle w:val="Hyperlink"/>
          </w:rPr>
          <w:t xml:space="preserve">10.1126/science.1205438</w:t>
        </w:r>
      </w:hyperlink>
      <w:r>
        <w:t xml:space="preserve"> </w:t>
      </w:r>
      <w:r>
        <w:t xml:space="preserve">· PMID:</w:t>
      </w:r>
      <w:r>
        <w:t xml:space="preserve"> </w:t>
      </w:r>
      <w:hyperlink r:id="rId69">
        <w:r>
          <w:rPr>
            <w:rStyle w:val="Hyperlink"/>
          </w:rPr>
          <w:t xml:space="preserve">22174245</w:t>
        </w:r>
      </w:hyperlink>
      <w:r>
        <w:t xml:space="preserve"> </w:t>
      </w:r>
      <w:r>
        <w:t xml:space="preserve">· PMCID:</w:t>
      </w:r>
      <w:r>
        <w:t xml:space="preserve"> </w:t>
      </w:r>
      <w:hyperlink r:id="rId70">
        <w:r>
          <w:rPr>
            <w:rStyle w:val="Hyperlink"/>
          </w:rPr>
          <w:t xml:space="preserve">PMC3325791</w:t>
        </w:r>
      </w:hyperlink>
    </w:p>
    <w:bookmarkEnd w:id="71"/>
    <w:bookmarkStart w:id="74" w:name="ref-IvOGGmxI"/>
    <w:p>
      <w:pPr>
        <w:pStyle w:val="Bibliography"/>
      </w:pPr>
      <w:r>
        <w:t xml:space="preserve">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72">
        <w:r>
          <w:rPr>
            <w:rStyle w:val="Hyperlink"/>
          </w:rPr>
          <w:t xml:space="preserve">https://doi.org/dkgjb4</w:t>
        </w:r>
      </w:hyperlink>
      <w:r>
        <w:t xml:space="preserve"> </w:t>
      </w:r>
      <w:r>
        <w:t xml:space="preserve">DOI:</w:t>
      </w:r>
      <w:r>
        <w:t xml:space="preserve"> </w:t>
      </w:r>
      <w:hyperlink r:id="rId73">
        <w:r>
          <w:rPr>
            <w:rStyle w:val="Hyperlink"/>
          </w:rPr>
          <w:t xml:space="preserve">10.1214/009053607000000505</w:t>
        </w:r>
      </w:hyperlink>
    </w:p>
    <w:bookmarkEnd w:id="74"/>
    <w:bookmarkStart w:id="77" w:name="ref-WP7yhZGS"/>
    <w:p>
      <w:pPr>
        <w:pStyle w:val="Bibliography"/>
      </w:pPr>
      <w:r>
        <w:t xml:space="preserve">6.</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75">
        <w:r>
          <w:rPr>
            <w:rStyle w:val="Hyperlink"/>
          </w:rPr>
          <w:t xml:space="preserve">https://doi.org/gfpn48</w:t>
        </w:r>
      </w:hyperlink>
      <w:r>
        <w:t xml:space="preserve"> </w:t>
      </w:r>
      <w:r>
        <w:t xml:space="preserve">DOI:</w:t>
      </w:r>
      <w:r>
        <w:t xml:space="preserve"> </w:t>
      </w:r>
      <w:hyperlink r:id="rId76">
        <w:r>
          <w:rPr>
            <w:rStyle w:val="Hyperlink"/>
          </w:rPr>
          <w:t xml:space="preserve">10.1080/00031305.1973.10478966</w:t>
        </w:r>
      </w:hyperlink>
    </w:p>
    <w:bookmarkEnd w:id="77"/>
    <w:bookmarkStart w:id="79" w:name="ref-LW7cVCGa"/>
    <w:p>
      <w:pPr>
        <w:pStyle w:val="Bibliography"/>
      </w:pPr>
      <w:r>
        <w:t xml:space="preserve">7.</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78">
        <w:r>
          <w:rPr>
            <w:rStyle w:val="Hyperlink"/>
          </w:rPr>
          <w:t xml:space="preserve">http://www.thefunctionalart.com/2016/08/download-datasaurus-never-trust-summary.html</w:t>
        </w:r>
      </w:hyperlink>
    </w:p>
    <w:bookmarkEnd w:id="79"/>
    <w:bookmarkStart w:id="82" w:name="ref-dvyMwrz9"/>
    <w:p>
      <w:pPr>
        <w:pStyle w:val="Bibliography"/>
      </w:pPr>
      <w:r>
        <w:t xml:space="preserve">8.</w:t>
      </w:r>
      <w:r>
        <w:t xml:space="preserve"> </w:t>
      </w:r>
      <w:r>
        <w:t xml:space="preserve">	</w:t>
      </w:r>
      <w:r>
        <w:rPr>
          <w:bCs/>
          <w:b/>
        </w:rPr>
        <w:t xml:space="preserve">Same Stats, Different Graphs: Generating Datasets with Varied Appearance and Identical Statistics through Simulated Annealing</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80">
        <w:r>
          <w:rPr>
            <w:rStyle w:val="Hyperlink"/>
          </w:rPr>
          <w:t xml:space="preserve">https://doi.org/gdtg2w</w:t>
        </w:r>
      </w:hyperlink>
      <w:r>
        <w:t xml:space="preserve"> </w:t>
      </w:r>
      <w:r>
        <w:t xml:space="preserve">DOI:</w:t>
      </w:r>
      <w:r>
        <w:t xml:space="preserve"> </w:t>
      </w:r>
      <w:hyperlink r:id="rId81">
        <w:r>
          <w:rPr>
            <w:rStyle w:val="Hyperlink"/>
          </w:rPr>
          <w:t xml:space="preserve">10.1145/3025453.3025912</w:t>
        </w:r>
      </w:hyperlink>
      <w:r>
        <w:t xml:space="preserve"> </w:t>
      </w:r>
      <w:r>
        <w:t xml:space="preserve">· ISBN: 9781450346559</w:t>
      </w:r>
    </w:p>
    <w:bookmarkEnd w:id="82"/>
    <w:bookmarkStart w:id="85" w:name="ref-FhufXP6P"/>
    <w:p>
      <w:pPr>
        <w:pStyle w:val="Bibliography"/>
      </w:pPr>
      <w:r>
        <w:t xml:space="preserve">9.</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(2021-04)</w:t>
      </w:r>
      <w:r>
        <w:t xml:space="preserve"> </w:t>
      </w:r>
      <w:hyperlink r:id="rId83">
        <w:r>
          <w:rPr>
            <w:rStyle w:val="Hyperlink"/>
          </w:rPr>
          <w:t xml:space="preserve">https://doi.org/gjmgqt</w:t>
        </w:r>
      </w:hyperlink>
      <w:r>
        <w:t xml:space="preserve"> </w:t>
      </w:r>
      <w:r>
        <w:t xml:space="preserve">DOI:</w:t>
      </w:r>
      <w:r>
        <w:t xml:space="preserve"> </w:t>
      </w:r>
      <w:hyperlink r:id="rId84">
        <w:r>
          <w:rPr>
            <w:rStyle w:val="Hyperlink"/>
          </w:rPr>
          <w:t xml:space="preserve">10.1111/dsji.12233</w:t>
        </w:r>
      </w:hyperlink>
    </w:p>
    <w:bookmarkEnd w:id="85"/>
    <w:bookmarkStart w:id="90" w:name="ref-1AMcxTw9R"/>
    <w:p>
      <w:pPr>
        <w:pStyle w:val="Bibliography"/>
      </w:pPr>
      <w:r>
        <w:t xml:space="preserve">10.</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86">
        <w:r>
          <w:rPr>
            <w:rStyle w:val="Hyperlink"/>
          </w:rPr>
          <w:t xml:space="preserve">https://doi.org/gnr5k7</w:t>
        </w:r>
      </w:hyperlink>
      <w:r>
        <w:t xml:space="preserve"> </w:t>
      </w:r>
      <w:r>
        <w:t xml:space="preserve">DOI:</w:t>
      </w:r>
      <w:r>
        <w:t xml:space="preserve"> </w:t>
      </w:r>
      <w:hyperlink r:id="rId87">
        <w:r>
          <w:rPr>
            <w:rStyle w:val="Hyperlink"/>
          </w:rPr>
          <w:t xml:space="preserve">10.3389/fgene.2019.01410</w:t>
        </w:r>
      </w:hyperlink>
      <w:r>
        <w:t xml:space="preserve"> </w:t>
      </w:r>
      <w:r>
        <w:t xml:space="preserve">· PMID:</w:t>
      </w:r>
      <w:r>
        <w:t xml:space="preserve"> </w:t>
      </w:r>
      <w:hyperlink r:id="rId88">
        <w:r>
          <w:rPr>
            <w:rStyle w:val="Hyperlink"/>
          </w:rPr>
          <w:t xml:space="preserve">32082366</w:t>
        </w:r>
      </w:hyperlink>
      <w:r>
        <w:t xml:space="preserve"> </w:t>
      </w:r>
      <w:r>
        <w:t xml:space="preserve">· PMCID:</w:t>
      </w:r>
      <w:r>
        <w:t xml:space="preserve"> </w:t>
      </w:r>
      <w:hyperlink r:id="rId89">
        <w:r>
          <w:rPr>
            <w:rStyle w:val="Hyperlink"/>
          </w:rPr>
          <w:t xml:space="preserve">PMC7006292</w:t>
        </w:r>
      </w:hyperlink>
    </w:p>
    <w:bookmarkEnd w:id="90"/>
    <w:bookmarkStart w:id="95" w:name="ref-16ddFzCqe"/>
    <w:p>
      <w:pPr>
        <w:pStyle w:val="Bibliography"/>
      </w:pPr>
      <w:r>
        <w:t xml:space="preserve">11.</w:t>
      </w:r>
      <w:r>
        <w:t xml:space="preserve"> </w:t>
      </w:r>
      <w:r>
        <w:t xml:space="preserve">	</w:t>
      </w:r>
      <w:r>
        <w:rPr>
          <w:bCs/>
          <w:b/>
        </w:rPr>
        <w:t xml:space="preserve">Comprehensive Identification of Cell Cycle–regulated Genes of the Yeast &lt;i&gt;Saccharomyces cerevisiae&lt;/i&gt; 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91">
        <w:r>
          <w:rPr>
            <w:rStyle w:val="Hyperlink"/>
          </w:rPr>
          <w:t xml:space="preserve">https://doi.org/gnr5k5</w:t>
        </w:r>
      </w:hyperlink>
      <w:r>
        <w:t xml:space="preserve"> </w:t>
      </w:r>
      <w:r>
        <w:t xml:space="preserve">DOI:</w:t>
      </w:r>
      <w:r>
        <w:t xml:space="preserve"> </w:t>
      </w:r>
      <w:hyperlink r:id="rId92">
        <w:r>
          <w:rPr>
            <w:rStyle w:val="Hyperlink"/>
          </w:rPr>
          <w:t xml:space="preserve">10.1091/mbc.9.12.3273</w:t>
        </w:r>
      </w:hyperlink>
      <w:r>
        <w:t xml:space="preserve"> </w:t>
      </w:r>
      <w:r>
        <w:t xml:space="preserve">· PMID:</w:t>
      </w:r>
      <w:r>
        <w:t xml:space="preserve"> </w:t>
      </w:r>
      <w:hyperlink r:id="rId93">
        <w:r>
          <w:rPr>
            <w:rStyle w:val="Hyperlink"/>
          </w:rPr>
          <w:t xml:space="preserve">9843569</w:t>
        </w:r>
      </w:hyperlink>
      <w:r>
        <w:t xml:space="preserve"> </w:t>
      </w:r>
      <w:r>
        <w:t xml:space="preserve">· PMCID:</w:t>
      </w:r>
      <w:r>
        <w:t xml:space="preserve"> </w:t>
      </w:r>
      <w:hyperlink r:id="rId94">
        <w:r>
          <w:rPr>
            <w:rStyle w:val="Hyperlink"/>
          </w:rPr>
          <w:t xml:space="preserve">PMC25624</w:t>
        </w:r>
      </w:hyperlink>
    </w:p>
    <w:bookmarkEnd w:id="95"/>
    <w:bookmarkStart w:id="97" w:name="ref-1HaffUr3r"/>
    <w:p>
      <w:pPr>
        <w:pStyle w:val="Bibliography"/>
      </w:pPr>
      <w:r>
        <w:t xml:space="preserve">12.</w:t>
      </w:r>
      <w:r>
        <w:t xml:space="preserve"> </w:t>
      </w:r>
      <w:r>
        <w:t xml:space="preserve">	</w:t>
      </w:r>
      <w:r>
        <w:rPr>
          <w:bCs/>
          <w:b/>
        </w:rPr>
        <w:t xml:space="preserve">Information Theoretic Measures for Clusterings Comparison: Variants, Properties, Normalization and Correction for Chance</w:t>
      </w:r>
      <w:r>
        <w:t xml:space="preserve"> </w:t>
      </w:r>
      <w:r>
        <w:t xml:space="preserve">Nguyen Xuan Vinh, Julien Epps, James Bailey</w:t>
      </w:r>
      <w:r>
        <w:t xml:space="preserve"> </w:t>
      </w:r>
      <w:r>
        <w:rPr>
          <w:iCs/>
          <w:i/>
        </w:rPr>
        <w:t xml:space="preserve">Journal of Machine Learning Research</w:t>
      </w:r>
      <w:r>
        <w:t xml:space="preserve"> </w:t>
      </w:r>
      <w:r>
        <w:t xml:space="preserve">(2010)</w:t>
      </w:r>
      <w:r>
        <w:t xml:space="preserve"> </w:t>
      </w:r>
      <w:hyperlink r:id="rId96">
        <w:r>
          <w:rPr>
            <w:rStyle w:val="Hyperlink"/>
          </w:rPr>
          <w:t xml:space="preserve">http://www.jmlr.org/papers/v11/vinh10a.html</w:t>
        </w:r>
      </w:hyperlink>
    </w:p>
    <w:bookmarkEnd w:id="97"/>
    <w:bookmarkStart w:id="102" w:name="ref-ZhJ7VK5R"/>
    <w:p>
      <w:pPr>
        <w:pStyle w:val="Bibliography"/>
      </w:pPr>
      <w:r>
        <w:t xml:space="preserve">13.</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98">
        <w:r>
          <w:rPr>
            <w:rStyle w:val="Hyperlink"/>
          </w:rPr>
          <w:t xml:space="preserve">https://doi.org/f3ssr5</w:t>
        </w:r>
      </w:hyperlink>
      <w:r>
        <w:t xml:space="preserve"> </w:t>
      </w:r>
      <w:r>
        <w:t xml:space="preserve">DOI:</w:t>
      </w:r>
      <w:r>
        <w:t xml:space="preserve"> </w:t>
      </w:r>
      <w:hyperlink r:id="rId99">
        <w:r>
          <w:rPr>
            <w:rStyle w:val="Hyperlink"/>
          </w:rPr>
          <w:t xml:space="preserve">10.1109/tvcg.2014.2346248</w:t>
        </w:r>
      </w:hyperlink>
      <w:r>
        <w:t xml:space="preserve"> </w:t>
      </w:r>
      <w:r>
        <w:t xml:space="preserve">· PMID:</w:t>
      </w:r>
      <w:r>
        <w:t xml:space="preserve"> </w:t>
      </w:r>
      <w:hyperlink r:id="rId100">
        <w:r>
          <w:rPr>
            <w:rStyle w:val="Hyperlink"/>
          </w:rPr>
          <w:t xml:space="preserve">26356912</w:t>
        </w:r>
      </w:hyperlink>
      <w:r>
        <w:t xml:space="preserve"> </w:t>
      </w:r>
      <w:r>
        <w:t xml:space="preserve">· PMCID:</w:t>
      </w:r>
      <w:r>
        <w:t xml:space="preserve"> </w:t>
      </w:r>
      <w:hyperlink r:id="rId101">
        <w:r>
          <w:rPr>
            <w:rStyle w:val="Hyperlink"/>
          </w:rPr>
          <w:t xml:space="preserve">PMC4720993</w:t>
        </w:r>
      </w:hyperlink>
    </w:p>
    <w:bookmarkEnd w:id="102"/>
    <w:bookmarkStart w:id="107" w:name="ref-9ZXy7Ut2"/>
    <w:p>
      <w:pPr>
        <w:pStyle w:val="Bibliography"/>
      </w:pPr>
      <w:r>
        <w:t xml:space="preserve">14.</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103">
        <w:r>
          <w:rPr>
            <w:rStyle w:val="Hyperlink"/>
          </w:rPr>
          <w:t xml:space="preserve">https://www.ncbi.nlm.nih.gov/pmc/articles/PMC4828725/</w:t>
        </w:r>
      </w:hyperlink>
      <w:r>
        <w:t xml:space="preserve"> </w:t>
      </w:r>
      <w:r>
        <w:t xml:space="preserve">DOI:</w:t>
      </w:r>
      <w:r>
        <w:t xml:space="preserve"> </w:t>
      </w:r>
      <w:hyperlink r:id="rId104">
        <w:r>
          <w:rPr>
            <w:rStyle w:val="Hyperlink"/>
          </w:rPr>
          <w:t xml:space="preserve">10.1038/ng.3259</w:t>
        </w:r>
      </w:hyperlink>
      <w:r>
        <w:t xml:space="preserve"> </w:t>
      </w:r>
      <w:r>
        <w:t xml:space="preserve">· PMID:</w:t>
      </w:r>
      <w:r>
        <w:t xml:space="preserve"> </w:t>
      </w:r>
      <w:hyperlink r:id="rId105">
        <w:r>
          <w:rPr>
            <w:rStyle w:val="Hyperlink"/>
          </w:rPr>
          <w:t xml:space="preserve">25915600</w:t>
        </w:r>
      </w:hyperlink>
      <w:r>
        <w:t xml:space="preserve"> </w:t>
      </w:r>
      <w:r>
        <w:t xml:space="preserve">· PMCID:</w:t>
      </w:r>
      <w:r>
        <w:t xml:space="preserve"> </w:t>
      </w:r>
      <w:hyperlink r:id="rId106">
        <w:r>
          <w:rPr>
            <w:rStyle w:val="Hyperlink"/>
          </w:rPr>
          <w:t xml:space="preserve">PMC4828725</w:t>
        </w:r>
      </w:hyperlink>
    </w:p>
    <w:bookmarkEnd w:id="107"/>
    <w:bookmarkStart w:id="111" w:name="ref-tt0Vdf4C"/>
    <w:p>
      <w:pPr>
        <w:pStyle w:val="Bibliography"/>
      </w:pPr>
      <w:r>
        <w:t xml:space="preserve">15.</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108">
        <w:r>
          <w:rPr>
            <w:rStyle w:val="Hyperlink"/>
          </w:rPr>
          <w:t xml:space="preserve">https://www.ncbi.nlm.nih.gov/pubmed/16199517</w:t>
        </w:r>
      </w:hyperlink>
      <w:r>
        <w:t xml:space="preserve"> </w:t>
      </w:r>
      <w:r>
        <w:t xml:space="preserve">DOI:</w:t>
      </w:r>
      <w:r>
        <w:t xml:space="preserve"> </w:t>
      </w:r>
      <w:hyperlink r:id="rId109">
        <w:r>
          <w:rPr>
            <w:rStyle w:val="Hyperlink"/>
          </w:rPr>
          <w:t xml:space="preserve">10.1073/pnas.0506580102</w:t>
        </w:r>
      </w:hyperlink>
      <w:r>
        <w:t xml:space="preserve"> </w:t>
      </w:r>
      <w:r>
        <w:t xml:space="preserve">· PMID:</w:t>
      </w:r>
      <w:r>
        <w:t xml:space="preserve"> </w:t>
      </w:r>
      <w:hyperlink r:id="rId108">
        <w:r>
          <w:rPr>
            <w:rStyle w:val="Hyperlink"/>
          </w:rPr>
          <w:t xml:space="preserve">16199517</w:t>
        </w:r>
      </w:hyperlink>
      <w:r>
        <w:t xml:space="preserve"> </w:t>
      </w:r>
      <w:r>
        <w:t xml:space="preserve">· PMCID:</w:t>
      </w:r>
      <w:r>
        <w:t xml:space="preserve"> </w:t>
      </w:r>
      <w:hyperlink r:id="rId110">
        <w:r>
          <w:rPr>
            <w:rStyle w:val="Hyperlink"/>
          </w:rPr>
          <w:t xml:space="preserve">PMC1239896</w:t>
        </w:r>
      </w:hyperlink>
    </w:p>
    <w:bookmarkEnd w:id="111"/>
    <w:bookmarkStart w:id="113" w:name="ref-KcdwueBe"/>
    <w:p>
      <w:pPr>
        <w:pStyle w:val="Bibliography"/>
      </w:pPr>
      <w:r>
        <w:t xml:space="preserve">16.</w:t>
      </w:r>
      <w:r>
        <w:t xml:space="preserve"> </w:t>
      </w:r>
      <w:r>
        <w:t xml:space="preserve">	</w:t>
      </w:r>
      <w:r>
        <w:rPr>
          <w:bCs/>
          <w:b/>
        </w:rPr>
        <w:t xml:space="preserve">SDS, IFNG - HumanBase</w:t>
      </w:r>
      <w:r>
        <w:t xml:space="preserve"> </w:t>
      </w:r>
      <w:hyperlink r:id="rId112">
        <w:r>
          <w:rPr>
            <w:rStyle w:val="Hyperlink"/>
          </w:rPr>
          <w:t xml:space="preserve">https://hb.flatironinstitute.org/gene/10993+3458</w:t>
        </w:r>
      </w:hyperlink>
    </w:p>
    <w:bookmarkEnd w:id="113"/>
    <w:bookmarkStart w:id="115" w:name="ref-fNQkvQLg"/>
    <w:p>
      <w:pPr>
        <w:pStyle w:val="Bibliography"/>
      </w:pPr>
      <w:r>
        <w:t xml:space="preserve">17.</w:t>
      </w:r>
      <w:r>
        <w:t xml:space="preserve"> </w:t>
      </w:r>
      <w:r>
        <w:t xml:space="preserve">	</w:t>
      </w:r>
      <w:r>
        <w:rPr>
          <w:bCs/>
          <w:b/>
        </w:rPr>
        <w:t xml:space="preserve">JUN, APOC1 - HumanBase</w:t>
      </w:r>
      <w:r>
        <w:t xml:space="preserve"> </w:t>
      </w:r>
      <w:hyperlink r:id="rId114">
        <w:r>
          <w:rPr>
            <w:rStyle w:val="Hyperlink"/>
          </w:rPr>
          <w:t xml:space="preserve">https://hb.flatironinstitute.org/gene/3725+341</w:t>
        </w:r>
      </w:hyperlink>
    </w:p>
    <w:bookmarkEnd w:id="115"/>
    <w:bookmarkStart w:id="117" w:name="ref-7U8Feifj"/>
    <w:p>
      <w:pPr>
        <w:pStyle w:val="Bibliography"/>
      </w:pPr>
      <w:r>
        <w:t xml:space="preserve">18.</w:t>
      </w:r>
      <w:r>
        <w:t xml:space="preserve"> </w:t>
      </w:r>
      <w:r>
        <w:t xml:space="preserve">	</w:t>
      </w:r>
      <w:r>
        <w:rPr>
          <w:bCs/>
          <w:b/>
        </w:rPr>
        <w:t xml:space="preserve">CCL18, ZDHHC12 - HumanBase</w:t>
      </w:r>
      <w:r>
        <w:t xml:space="preserve"> </w:t>
      </w:r>
      <w:hyperlink r:id="rId116">
        <w:r>
          <w:rPr>
            <w:rStyle w:val="Hyperlink"/>
          </w:rPr>
          <w:t xml:space="preserve">https://hb.flatironinstitute.org/gene/6362+84885</w:t>
        </w:r>
      </w:hyperlink>
    </w:p>
    <w:bookmarkEnd w:id="117"/>
    <w:bookmarkStart w:id="119" w:name="ref-FKQEHB1F"/>
    <w:p>
      <w:pPr>
        <w:pStyle w:val="Bibliography"/>
      </w:pPr>
      <w:r>
        <w:t xml:space="preserve">19.</w:t>
      </w:r>
      <w:r>
        <w:t xml:space="preserve"> </w:t>
      </w:r>
      <w:r>
        <w:t xml:space="preserve">	</w:t>
      </w:r>
      <w:r>
        <w:rPr>
          <w:bCs/>
          <w:b/>
        </w:rPr>
        <w:t xml:space="preserve">RASSF2, CYTIP - HumanBase</w:t>
      </w:r>
      <w:r>
        <w:t xml:space="preserve"> </w:t>
      </w:r>
      <w:hyperlink r:id="rId118">
        <w:r>
          <w:rPr>
            <w:rStyle w:val="Hyperlink"/>
          </w:rPr>
          <w:t xml:space="preserve">https://hb.flatironinstitute.org/gene/9770+9595</w:t>
        </w:r>
      </w:hyperlink>
    </w:p>
    <w:bookmarkEnd w:id="119"/>
    <w:bookmarkStart w:id="121" w:name="ref-JpfbR0un"/>
    <w:p>
      <w:pPr>
        <w:pStyle w:val="Bibliography"/>
      </w:pPr>
      <w:r>
        <w:t xml:space="preserve">20.</w:t>
      </w:r>
      <w:r>
        <w:t xml:space="preserve"> </w:t>
      </w:r>
      <w:r>
        <w:t xml:space="preserve">	</w:t>
      </w:r>
      <w:r>
        <w:rPr>
          <w:bCs/>
          <w:b/>
        </w:rPr>
        <w:t xml:space="preserve">MYOZ1, TNNI2 - HumanBase</w:t>
      </w:r>
      <w:r>
        <w:t xml:space="preserve"> </w:t>
      </w:r>
      <w:hyperlink r:id="rId120">
        <w:r>
          <w:rPr>
            <w:rStyle w:val="Hyperlink"/>
          </w:rPr>
          <w:t xml:space="preserve">https://hb.flatironinstitute.org/gene/58529+7136</w:t>
        </w:r>
      </w:hyperlink>
    </w:p>
    <w:bookmarkEnd w:id="121"/>
    <w:bookmarkStart w:id="123" w:name="ref-irsTxKvs"/>
    <w:p>
      <w:pPr>
        <w:pStyle w:val="Bibliography"/>
      </w:pPr>
      <w:r>
        <w:t xml:space="preserve">21.</w:t>
      </w:r>
      <w:r>
        <w:t xml:space="preserve"> </w:t>
      </w:r>
      <w:r>
        <w:t xml:space="preserve">	</w:t>
      </w:r>
      <w:r>
        <w:rPr>
          <w:bCs/>
          <w:b/>
        </w:rPr>
        <w:t xml:space="preserve">PYGM, TPM2 - HumanBase</w:t>
      </w:r>
      <w:r>
        <w:t xml:space="preserve"> </w:t>
      </w:r>
      <w:hyperlink r:id="rId122">
        <w:r>
          <w:rPr>
            <w:rStyle w:val="Hyperlink"/>
          </w:rPr>
          <w:t xml:space="preserve">https://hb.flatironinstitute.org/gene/5837+7169</w:t>
        </w:r>
      </w:hyperlink>
    </w:p>
    <w:bookmarkEnd w:id="123"/>
    <w:bookmarkStart w:id="124" w:name="ref-tbcQL0eR"/>
    <w:p>
      <w:pPr>
        <w:pStyle w:val="Bibliography"/>
      </w:pPr>
      <w:r>
        <w:t xml:space="preserve">22.</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69">
        <w:r>
          <w:rPr>
            <w:rStyle w:val="Hyperlink"/>
          </w:rPr>
          <w:t xml:space="preserve">https://www.ncbi.nlm.nih.gov/pubmed/22174245</w:t>
        </w:r>
      </w:hyperlink>
      <w:r>
        <w:t xml:space="preserve"> </w:t>
      </w:r>
      <w:r>
        <w:t xml:space="preserve">DOI:</w:t>
      </w:r>
      <w:r>
        <w:t xml:space="preserve"> </w:t>
      </w:r>
      <w:hyperlink r:id="rId68">
        <w:r>
          <w:rPr>
            <w:rStyle w:val="Hyperlink"/>
          </w:rPr>
          <w:t xml:space="preserve">10.1126/science.1205438</w:t>
        </w:r>
      </w:hyperlink>
      <w:r>
        <w:t xml:space="preserve"> </w:t>
      </w:r>
      <w:r>
        <w:t xml:space="preserve">· PMID:</w:t>
      </w:r>
      <w:r>
        <w:t xml:space="preserve"> </w:t>
      </w:r>
      <w:hyperlink r:id="rId69">
        <w:r>
          <w:rPr>
            <w:rStyle w:val="Hyperlink"/>
          </w:rPr>
          <w:t xml:space="preserve">22174245</w:t>
        </w:r>
      </w:hyperlink>
      <w:r>
        <w:t xml:space="preserve"> </w:t>
      </w:r>
      <w:r>
        <w:t xml:space="preserve">· PMCID:</w:t>
      </w:r>
      <w:r>
        <w:t xml:space="preserve"> </w:t>
      </w:r>
      <w:hyperlink r:id="rId70">
        <w:r>
          <w:rPr>
            <w:rStyle w:val="Hyperlink"/>
          </w:rPr>
          <w:t xml:space="preserve">PMC3325791</w:t>
        </w:r>
      </w:hyperlink>
    </w:p>
    <w:bookmarkEnd w:id="124"/>
    <w:bookmarkStart w:id="128" w:name="ref-NnsqWXcp"/>
    <w:p>
      <w:pPr>
        <w:pStyle w:val="Bibliography"/>
      </w:pPr>
      <w:r>
        <w:t xml:space="preserve">23.</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125">
        <w:r>
          <w:rPr>
            <w:rStyle w:val="Hyperlink"/>
          </w:rPr>
          <w:t xml:space="preserve">https://www.ncbi.nlm.nih.gov/pubmed/33972855</w:t>
        </w:r>
      </w:hyperlink>
      <w:r>
        <w:t xml:space="preserve"> </w:t>
      </w:r>
      <w:r>
        <w:t xml:space="preserve">DOI:</w:t>
      </w:r>
      <w:r>
        <w:t xml:space="preserve"> </w:t>
      </w:r>
      <w:hyperlink r:id="rId126">
        <w:r>
          <w:rPr>
            <w:rStyle w:val="Hyperlink"/>
          </w:rPr>
          <w:t xml:space="preserve">10.1098/rsos.201424</w:t>
        </w:r>
      </w:hyperlink>
      <w:r>
        <w:t xml:space="preserve"> </w:t>
      </w:r>
      <w:r>
        <w:t xml:space="preserve">· PMID:</w:t>
      </w:r>
      <w:r>
        <w:t xml:space="preserve"> </w:t>
      </w:r>
      <w:hyperlink r:id="rId125">
        <w:r>
          <w:rPr>
            <w:rStyle w:val="Hyperlink"/>
          </w:rPr>
          <w:t xml:space="preserve">33972855</w:t>
        </w:r>
      </w:hyperlink>
      <w:r>
        <w:t xml:space="preserve"> </w:t>
      </w:r>
      <w:r>
        <w:t xml:space="preserve">· PMCID:</w:t>
      </w:r>
      <w:r>
        <w:t xml:space="preserve"> </w:t>
      </w:r>
      <w:hyperlink r:id="rId127">
        <w:r>
          <w:rPr>
            <w:rStyle w:val="Hyperlink"/>
          </w:rPr>
          <w:t xml:space="preserve">PMC8074658</w:t>
        </w:r>
      </w:hyperlink>
    </w:p>
    <w:bookmarkEnd w:id="128"/>
    <w:bookmarkStart w:id="131" w:name="ref-g8HrFUfP"/>
    <w:p>
      <w:pPr>
        <w:pStyle w:val="Bibliography"/>
      </w:pPr>
      <w:r>
        <w:t xml:space="preserve">24.</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129">
        <w:r>
          <w:rPr>
            <w:rStyle w:val="Hyperlink"/>
          </w:rPr>
          <w:t xml:space="preserve">https://www.ncbi.nlm.nih.gov/pubmed/33001806</w:t>
        </w:r>
      </w:hyperlink>
      <w:r>
        <w:t xml:space="preserve"> </w:t>
      </w:r>
      <w:r>
        <w:t xml:space="preserve">DOI:</w:t>
      </w:r>
      <w:r>
        <w:t xml:space="preserve"> </w:t>
      </w:r>
      <w:hyperlink r:id="rId130">
        <w:r>
          <w:rPr>
            <w:rStyle w:val="Hyperlink"/>
          </w:rPr>
          <w:t xml:space="preserve">10.1109/tnsre.2020.3028199</w:t>
        </w:r>
      </w:hyperlink>
      <w:r>
        <w:t xml:space="preserve"> </w:t>
      </w:r>
      <w:r>
        <w:t xml:space="preserve">· PMID:</w:t>
      </w:r>
      <w:r>
        <w:t xml:space="preserve"> </w:t>
      </w:r>
      <w:hyperlink r:id="rId129">
        <w:r>
          <w:rPr>
            <w:rStyle w:val="Hyperlink"/>
          </w:rPr>
          <w:t xml:space="preserve">33001806</w:t>
        </w:r>
      </w:hyperlink>
    </w:p>
    <w:bookmarkEnd w:id="131"/>
    <w:bookmarkStart w:id="135" w:name="ref-iZjSr8s2"/>
    <w:p>
      <w:pPr>
        <w:pStyle w:val="Bibliography"/>
      </w:pPr>
      <w:r>
        <w:t xml:space="preserve">25.</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132">
        <w:r>
          <w:rPr>
            <w:rStyle w:val="Hyperlink"/>
          </w:rPr>
          <w:t xml:space="preserve">https://www.ncbi.nlm.nih.gov/pubmed/27006077</w:t>
        </w:r>
      </w:hyperlink>
      <w:r>
        <w:t xml:space="preserve"> </w:t>
      </w:r>
      <w:r>
        <w:t xml:space="preserve">DOI:</w:t>
      </w:r>
      <w:r>
        <w:t xml:space="preserve"> </w:t>
      </w:r>
      <w:hyperlink r:id="rId133">
        <w:r>
          <w:rPr>
            <w:rStyle w:val="Hyperlink"/>
          </w:rPr>
          <w:t xml:space="preserve">10.1186/s12859-016-0990-0</w:t>
        </w:r>
      </w:hyperlink>
      <w:r>
        <w:t xml:space="preserve"> </w:t>
      </w:r>
      <w:r>
        <w:t xml:space="preserve">· PMID:</w:t>
      </w:r>
      <w:r>
        <w:t xml:space="preserve"> </w:t>
      </w:r>
      <w:hyperlink r:id="rId132">
        <w:r>
          <w:rPr>
            <w:rStyle w:val="Hyperlink"/>
          </w:rPr>
          <w:t xml:space="preserve">27006077</w:t>
        </w:r>
      </w:hyperlink>
      <w:r>
        <w:t xml:space="preserve"> </w:t>
      </w:r>
      <w:r>
        <w:t xml:space="preserve">· PMCID:</w:t>
      </w:r>
      <w:r>
        <w:t xml:space="preserve"> </w:t>
      </w:r>
      <w:hyperlink r:id="rId134">
        <w:r>
          <w:rPr>
            <w:rStyle w:val="Hyperlink"/>
          </w:rPr>
          <w:t xml:space="preserve">PMC4804474</w:t>
        </w:r>
      </w:hyperlink>
    </w:p>
    <w:bookmarkEnd w:id="135"/>
    <w:bookmarkEnd w:id="136"/>
    <w:bookmarkEnd w:id="137"/>
    <w:bookmarkStart w:id="138" w:name="acknowledgements"/>
    <w:p>
      <w:pPr>
        <w:pStyle w:val="Heading2"/>
      </w:pPr>
      <w:r>
        <w:t xml:space="preserve">Acknowledgements</w:t>
      </w:r>
    </w:p>
    <w:bookmarkEnd w:id="138"/>
    <w:bookmarkStart w:id="139" w:name="supplementary-material"/>
    <w:p>
      <w:pPr>
        <w:pStyle w:val="Heading2"/>
      </w:pPr>
      <w:r>
        <w:t xml:space="preserve">Supplementary material</w:t>
      </w:r>
    </w:p>
    <w:bookmarkEnd w:id="13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svg" /><Relationship Type="http://schemas.openxmlformats.org/officeDocument/2006/relationships/image" Id="rId42" Target="media/rId42.svg" /><Relationship Type="http://schemas.openxmlformats.org/officeDocument/2006/relationships/image" Id="rId51" Target="media/rId51.svg" /><Relationship Type="http://schemas.openxmlformats.org/officeDocument/2006/relationships/image" Id="rId44" Target="media/rId44.svg" /><Relationship Type="http://schemas.openxmlformats.org/officeDocument/2006/relationships/image" Id="rId46" Target="media/rId46.svg" /><Relationship Type="http://schemas.openxmlformats.org/officeDocument/2006/relationships/image" Id="rId24" Target="media/rId24.svg" /><Relationship Type="http://schemas.openxmlformats.org/officeDocument/2006/relationships/image" Id="rId56" Target="media/rId56.svg" /><Relationship Type="http://schemas.openxmlformats.org/officeDocument/2006/relationships/image" Id="rId39" Target="media/rId39.sv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96" Target="http://www.jmlr.org/papers/v11/vinh10a.html" TargetMode="External" /><Relationship Type="http://schemas.openxmlformats.org/officeDocument/2006/relationships/hyperlink" Id="rId78" Target="http://www.thefunctionalart.com/2016/08/download-datasaurus-never-trust-summary.html" TargetMode="External" /><Relationship Type="http://schemas.openxmlformats.org/officeDocument/2006/relationships/hyperlink" Id="rId65" Target="https://doi.org/10.1007/bf01908075" TargetMode="External" /><Relationship Type="http://schemas.openxmlformats.org/officeDocument/2006/relationships/hyperlink" Id="rId104" Target="https://doi.org/10.1038/ng.3259" TargetMode="External" /><Relationship Type="http://schemas.openxmlformats.org/officeDocument/2006/relationships/hyperlink" Id="rId109" Target="https://doi.org/10.1073/pnas.0506580102" TargetMode="External" /><Relationship Type="http://schemas.openxmlformats.org/officeDocument/2006/relationships/hyperlink" Id="rId76" Target="https://doi.org/10.1080/00031305.1973.10478966" TargetMode="External" /><Relationship Type="http://schemas.openxmlformats.org/officeDocument/2006/relationships/hyperlink" Id="rId92" Target="https://doi.org/10.1091/mbc.9.12.3273" TargetMode="External" /><Relationship Type="http://schemas.openxmlformats.org/officeDocument/2006/relationships/hyperlink" Id="rId60" Target="https://doi.org/10.1093/bioinformatics/bty899" TargetMode="External" /><Relationship Type="http://schemas.openxmlformats.org/officeDocument/2006/relationships/hyperlink" Id="rId126" Target="https://doi.org/10.1098/rsos.201424" TargetMode="External" /><Relationship Type="http://schemas.openxmlformats.org/officeDocument/2006/relationships/hyperlink" Id="rId130" Target="https://doi.org/10.1109/tnsre.2020.3028199" TargetMode="External" /><Relationship Type="http://schemas.openxmlformats.org/officeDocument/2006/relationships/hyperlink" Id="rId99" Target="https://doi.org/10.1109/tvcg.2014.2346248" TargetMode="External" /><Relationship Type="http://schemas.openxmlformats.org/officeDocument/2006/relationships/hyperlink" Id="rId84" Target="https://doi.org/10.1111/dsji.12233" TargetMode="External" /><Relationship Type="http://schemas.openxmlformats.org/officeDocument/2006/relationships/hyperlink" Id="rId68" Target="https://doi.org/10.1126/science.1205438" TargetMode="External" /><Relationship Type="http://schemas.openxmlformats.org/officeDocument/2006/relationships/hyperlink" Id="rId81" Target="https://doi.org/10.1145/3025453.3025912" TargetMode="External" /><Relationship Type="http://schemas.openxmlformats.org/officeDocument/2006/relationships/hyperlink" Id="rId133" Target="https://doi.org/10.1186/s12859-016-0990-0" TargetMode="External" /><Relationship Type="http://schemas.openxmlformats.org/officeDocument/2006/relationships/hyperlink" Id="rId73" Target="https://doi.org/10.1214/009053607000000505" TargetMode="External" /><Relationship Type="http://schemas.openxmlformats.org/officeDocument/2006/relationships/hyperlink" Id="rId87" Target="https://doi.org/10.3389/fgene.2019.01410" TargetMode="External" /><Relationship Type="http://schemas.openxmlformats.org/officeDocument/2006/relationships/hyperlink" Id="rId64" Target="https://doi.org/bphmzh" TargetMode="External" /><Relationship Type="http://schemas.openxmlformats.org/officeDocument/2006/relationships/hyperlink" Id="rId67" Target="https://doi.org/bzn5c3" TargetMode="External" /><Relationship Type="http://schemas.openxmlformats.org/officeDocument/2006/relationships/hyperlink" Id="rId72" Target="https://doi.org/dkgjb4" TargetMode="External" /><Relationship Type="http://schemas.openxmlformats.org/officeDocument/2006/relationships/hyperlink" Id="rId98" Target="https://doi.org/f3ssr5" TargetMode="External" /><Relationship Type="http://schemas.openxmlformats.org/officeDocument/2006/relationships/hyperlink" Id="rId80" Target="https://doi.org/gdtg2w" TargetMode="External" /><Relationship Type="http://schemas.openxmlformats.org/officeDocument/2006/relationships/hyperlink" Id="rId59" Target="https://doi.org/gfg4bt" TargetMode="External" /><Relationship Type="http://schemas.openxmlformats.org/officeDocument/2006/relationships/hyperlink" Id="rId75" Target="https://doi.org/gfpn48" TargetMode="External" /><Relationship Type="http://schemas.openxmlformats.org/officeDocument/2006/relationships/hyperlink" Id="rId83" Target="https://doi.org/gjmgqt" TargetMode="External" /><Relationship Type="http://schemas.openxmlformats.org/officeDocument/2006/relationships/hyperlink" Id="rId91" Target="https://doi.org/gnr5k5" TargetMode="External" /><Relationship Type="http://schemas.openxmlformats.org/officeDocument/2006/relationships/hyperlink" Id="rId86" Target="https://doi.org/gnr5k7"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21" Target="https://github.com/greenelab/clustermatch-gene-expr-manuscript/tree/2d6b707b69e602f7c916fda1f3d71aa220421ec8" TargetMode="External" /><Relationship Type="http://schemas.openxmlformats.org/officeDocument/2006/relationships/hyperlink" Id="rId25" Target="https://github.com/miltondp" TargetMode="External" /><Relationship Type="http://schemas.openxmlformats.org/officeDocument/2006/relationships/hyperlink" Id="rId20" Target="https://greenelab.github.io/clustermatch-gene-expr-manuscript/v/2d6b707b69e602f7c916fda1f3d71aa220421ec8/" TargetMode="External" /><Relationship Type="http://schemas.openxmlformats.org/officeDocument/2006/relationships/hyperlink" Id="rId112" Target="https://hb.flatironinstitute.org/gene/10993+3458" TargetMode="External" /><Relationship Type="http://schemas.openxmlformats.org/officeDocument/2006/relationships/hyperlink" Id="rId114" Target="https://hb.flatironinstitute.org/gene/3725+341" TargetMode="External" /><Relationship Type="http://schemas.openxmlformats.org/officeDocument/2006/relationships/hyperlink" Id="rId122" Target="https://hb.flatironinstitute.org/gene/5837+7169" TargetMode="External" /><Relationship Type="http://schemas.openxmlformats.org/officeDocument/2006/relationships/hyperlink" Id="rId120" Target="https://hb.flatironinstitute.org/gene/58529+7136" TargetMode="External" /><Relationship Type="http://schemas.openxmlformats.org/officeDocument/2006/relationships/hyperlink" Id="rId116" Target="https://hb.flatironinstitute.org/gene/6362+84885" TargetMode="External" /><Relationship Type="http://schemas.openxmlformats.org/officeDocument/2006/relationships/hyperlink" Id="rId118" Target="https://hb.flatironinstitute.org/gene/9770+9595"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110" Target="https://www.ncbi.nlm.nih.gov/pmc/articles/PMC1239896" TargetMode="External" /><Relationship Type="http://schemas.openxmlformats.org/officeDocument/2006/relationships/hyperlink" Id="rId94" Target="https://www.ncbi.nlm.nih.gov/pmc/articles/PMC25624" TargetMode="External" /><Relationship Type="http://schemas.openxmlformats.org/officeDocument/2006/relationships/hyperlink" Id="rId70" Target="https://www.ncbi.nlm.nih.gov/pmc/articles/PMC3325791" TargetMode="External" /><Relationship Type="http://schemas.openxmlformats.org/officeDocument/2006/relationships/hyperlink" Id="rId101" Target="https://www.ncbi.nlm.nih.gov/pmc/articles/PMC4720993" TargetMode="External" /><Relationship Type="http://schemas.openxmlformats.org/officeDocument/2006/relationships/hyperlink" Id="rId134" Target="https://www.ncbi.nlm.nih.gov/pmc/articles/PMC4804474" TargetMode="External" /><Relationship Type="http://schemas.openxmlformats.org/officeDocument/2006/relationships/hyperlink" Id="rId106" Target="https://www.ncbi.nlm.nih.gov/pmc/articles/PMC4828725" TargetMode="External" /><Relationship Type="http://schemas.openxmlformats.org/officeDocument/2006/relationships/hyperlink" Id="rId103" Target="https://www.ncbi.nlm.nih.gov/pmc/articles/PMC4828725/" TargetMode="External" /><Relationship Type="http://schemas.openxmlformats.org/officeDocument/2006/relationships/hyperlink" Id="rId89" Target="https://www.ncbi.nlm.nih.gov/pmc/articles/PMC7006292" TargetMode="External" /><Relationship Type="http://schemas.openxmlformats.org/officeDocument/2006/relationships/hyperlink" Id="rId127" Target="https://www.ncbi.nlm.nih.gov/pmc/articles/PMC8074658" TargetMode="External" /><Relationship Type="http://schemas.openxmlformats.org/officeDocument/2006/relationships/hyperlink" Id="rId108" Target="https://www.ncbi.nlm.nih.gov/pubmed/16199517" TargetMode="External" /><Relationship Type="http://schemas.openxmlformats.org/officeDocument/2006/relationships/hyperlink" Id="rId69" Target="https://www.ncbi.nlm.nih.gov/pubmed/22174245" TargetMode="External" /><Relationship Type="http://schemas.openxmlformats.org/officeDocument/2006/relationships/hyperlink" Id="rId105" Target="https://www.ncbi.nlm.nih.gov/pubmed/25915600" TargetMode="External" /><Relationship Type="http://schemas.openxmlformats.org/officeDocument/2006/relationships/hyperlink" Id="rId100" Target="https://www.ncbi.nlm.nih.gov/pubmed/26356912" TargetMode="External" /><Relationship Type="http://schemas.openxmlformats.org/officeDocument/2006/relationships/hyperlink" Id="rId132" Target="https://www.ncbi.nlm.nih.gov/pubmed/27006077" TargetMode="External" /><Relationship Type="http://schemas.openxmlformats.org/officeDocument/2006/relationships/hyperlink" Id="rId61" Target="https://www.ncbi.nlm.nih.gov/pubmed/30357313" TargetMode="External" /><Relationship Type="http://schemas.openxmlformats.org/officeDocument/2006/relationships/hyperlink" Id="rId88" Target="https://www.ncbi.nlm.nih.gov/pubmed/32082366" TargetMode="External" /><Relationship Type="http://schemas.openxmlformats.org/officeDocument/2006/relationships/hyperlink" Id="rId129" Target="https://www.ncbi.nlm.nih.gov/pubmed/33001806" TargetMode="External" /><Relationship Type="http://schemas.openxmlformats.org/officeDocument/2006/relationships/hyperlink" Id="rId125" Target="https://www.ncbi.nlm.nih.gov/pubmed/33972855" TargetMode="External" /><Relationship Type="http://schemas.openxmlformats.org/officeDocument/2006/relationships/hyperlink" Id="rId93" Target="https://www.ncbi.nlm.nih.gov/pubmed/9843569" TargetMode="External" /></Relationships>
</file>

<file path=word/_rels/footnotes.xml.rels><?xml version="1.0" encoding="UTF-8"?><Relationships xmlns="http://schemas.openxmlformats.org/package/2006/relationships"><Relationship Type="http://schemas.openxmlformats.org/officeDocument/2006/relationships/hyperlink" Id="rId96" Target="http://www.jmlr.org/papers/v11/vinh10a.html" TargetMode="External" /><Relationship Type="http://schemas.openxmlformats.org/officeDocument/2006/relationships/hyperlink" Id="rId78" Target="http://www.thefunctionalart.com/2016/08/download-datasaurus-never-trust-summary.html" TargetMode="External" /><Relationship Type="http://schemas.openxmlformats.org/officeDocument/2006/relationships/hyperlink" Id="rId65" Target="https://doi.org/10.1007/bf01908075" TargetMode="External" /><Relationship Type="http://schemas.openxmlformats.org/officeDocument/2006/relationships/hyperlink" Id="rId104" Target="https://doi.org/10.1038/ng.3259" TargetMode="External" /><Relationship Type="http://schemas.openxmlformats.org/officeDocument/2006/relationships/hyperlink" Id="rId109" Target="https://doi.org/10.1073/pnas.0506580102" TargetMode="External" /><Relationship Type="http://schemas.openxmlformats.org/officeDocument/2006/relationships/hyperlink" Id="rId76" Target="https://doi.org/10.1080/00031305.1973.10478966" TargetMode="External" /><Relationship Type="http://schemas.openxmlformats.org/officeDocument/2006/relationships/hyperlink" Id="rId92" Target="https://doi.org/10.1091/mbc.9.12.3273" TargetMode="External" /><Relationship Type="http://schemas.openxmlformats.org/officeDocument/2006/relationships/hyperlink" Id="rId60" Target="https://doi.org/10.1093/bioinformatics/bty899" TargetMode="External" /><Relationship Type="http://schemas.openxmlformats.org/officeDocument/2006/relationships/hyperlink" Id="rId126" Target="https://doi.org/10.1098/rsos.201424" TargetMode="External" /><Relationship Type="http://schemas.openxmlformats.org/officeDocument/2006/relationships/hyperlink" Id="rId130" Target="https://doi.org/10.1109/tnsre.2020.3028199" TargetMode="External" /><Relationship Type="http://schemas.openxmlformats.org/officeDocument/2006/relationships/hyperlink" Id="rId99" Target="https://doi.org/10.1109/tvcg.2014.2346248" TargetMode="External" /><Relationship Type="http://schemas.openxmlformats.org/officeDocument/2006/relationships/hyperlink" Id="rId84" Target="https://doi.org/10.1111/dsji.12233" TargetMode="External" /><Relationship Type="http://schemas.openxmlformats.org/officeDocument/2006/relationships/hyperlink" Id="rId68" Target="https://doi.org/10.1126/science.1205438" TargetMode="External" /><Relationship Type="http://schemas.openxmlformats.org/officeDocument/2006/relationships/hyperlink" Id="rId81" Target="https://doi.org/10.1145/3025453.3025912" TargetMode="External" /><Relationship Type="http://schemas.openxmlformats.org/officeDocument/2006/relationships/hyperlink" Id="rId133" Target="https://doi.org/10.1186/s12859-016-0990-0" TargetMode="External" /><Relationship Type="http://schemas.openxmlformats.org/officeDocument/2006/relationships/hyperlink" Id="rId73" Target="https://doi.org/10.1214/009053607000000505" TargetMode="External" /><Relationship Type="http://schemas.openxmlformats.org/officeDocument/2006/relationships/hyperlink" Id="rId87" Target="https://doi.org/10.3389/fgene.2019.01410" TargetMode="External" /><Relationship Type="http://schemas.openxmlformats.org/officeDocument/2006/relationships/hyperlink" Id="rId64" Target="https://doi.org/bphmzh" TargetMode="External" /><Relationship Type="http://schemas.openxmlformats.org/officeDocument/2006/relationships/hyperlink" Id="rId67" Target="https://doi.org/bzn5c3" TargetMode="External" /><Relationship Type="http://schemas.openxmlformats.org/officeDocument/2006/relationships/hyperlink" Id="rId72" Target="https://doi.org/dkgjb4" TargetMode="External" /><Relationship Type="http://schemas.openxmlformats.org/officeDocument/2006/relationships/hyperlink" Id="rId98" Target="https://doi.org/f3ssr5" TargetMode="External" /><Relationship Type="http://schemas.openxmlformats.org/officeDocument/2006/relationships/hyperlink" Id="rId80" Target="https://doi.org/gdtg2w" TargetMode="External" /><Relationship Type="http://schemas.openxmlformats.org/officeDocument/2006/relationships/hyperlink" Id="rId59" Target="https://doi.org/gfg4bt" TargetMode="External" /><Relationship Type="http://schemas.openxmlformats.org/officeDocument/2006/relationships/hyperlink" Id="rId75" Target="https://doi.org/gfpn48" TargetMode="External" /><Relationship Type="http://schemas.openxmlformats.org/officeDocument/2006/relationships/hyperlink" Id="rId83" Target="https://doi.org/gjmgqt" TargetMode="External" /><Relationship Type="http://schemas.openxmlformats.org/officeDocument/2006/relationships/hyperlink" Id="rId91" Target="https://doi.org/gnr5k5" TargetMode="External" /><Relationship Type="http://schemas.openxmlformats.org/officeDocument/2006/relationships/hyperlink" Id="rId86" Target="https://doi.org/gnr5k7"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21" Target="https://github.com/greenelab/clustermatch-gene-expr-manuscript/tree/2d6b707b69e602f7c916fda1f3d71aa220421ec8" TargetMode="External" /><Relationship Type="http://schemas.openxmlformats.org/officeDocument/2006/relationships/hyperlink" Id="rId25" Target="https://github.com/miltondp" TargetMode="External" /><Relationship Type="http://schemas.openxmlformats.org/officeDocument/2006/relationships/hyperlink" Id="rId20" Target="https://greenelab.github.io/clustermatch-gene-expr-manuscript/v/2d6b707b69e602f7c916fda1f3d71aa220421ec8/" TargetMode="External" /><Relationship Type="http://schemas.openxmlformats.org/officeDocument/2006/relationships/hyperlink" Id="rId112" Target="https://hb.flatironinstitute.org/gene/10993+3458" TargetMode="External" /><Relationship Type="http://schemas.openxmlformats.org/officeDocument/2006/relationships/hyperlink" Id="rId114" Target="https://hb.flatironinstitute.org/gene/3725+341" TargetMode="External" /><Relationship Type="http://schemas.openxmlformats.org/officeDocument/2006/relationships/hyperlink" Id="rId122" Target="https://hb.flatironinstitute.org/gene/5837+7169" TargetMode="External" /><Relationship Type="http://schemas.openxmlformats.org/officeDocument/2006/relationships/hyperlink" Id="rId120" Target="https://hb.flatironinstitute.org/gene/58529+7136" TargetMode="External" /><Relationship Type="http://schemas.openxmlformats.org/officeDocument/2006/relationships/hyperlink" Id="rId116" Target="https://hb.flatironinstitute.org/gene/6362+84885" TargetMode="External" /><Relationship Type="http://schemas.openxmlformats.org/officeDocument/2006/relationships/hyperlink" Id="rId118" Target="https://hb.flatironinstitute.org/gene/9770+9595"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110" Target="https://www.ncbi.nlm.nih.gov/pmc/articles/PMC1239896" TargetMode="External" /><Relationship Type="http://schemas.openxmlformats.org/officeDocument/2006/relationships/hyperlink" Id="rId94" Target="https://www.ncbi.nlm.nih.gov/pmc/articles/PMC25624" TargetMode="External" /><Relationship Type="http://schemas.openxmlformats.org/officeDocument/2006/relationships/hyperlink" Id="rId70" Target="https://www.ncbi.nlm.nih.gov/pmc/articles/PMC3325791" TargetMode="External" /><Relationship Type="http://schemas.openxmlformats.org/officeDocument/2006/relationships/hyperlink" Id="rId101" Target="https://www.ncbi.nlm.nih.gov/pmc/articles/PMC4720993" TargetMode="External" /><Relationship Type="http://schemas.openxmlformats.org/officeDocument/2006/relationships/hyperlink" Id="rId134" Target="https://www.ncbi.nlm.nih.gov/pmc/articles/PMC4804474" TargetMode="External" /><Relationship Type="http://schemas.openxmlformats.org/officeDocument/2006/relationships/hyperlink" Id="rId106" Target="https://www.ncbi.nlm.nih.gov/pmc/articles/PMC4828725" TargetMode="External" /><Relationship Type="http://schemas.openxmlformats.org/officeDocument/2006/relationships/hyperlink" Id="rId103" Target="https://www.ncbi.nlm.nih.gov/pmc/articles/PMC4828725/" TargetMode="External" /><Relationship Type="http://schemas.openxmlformats.org/officeDocument/2006/relationships/hyperlink" Id="rId89" Target="https://www.ncbi.nlm.nih.gov/pmc/articles/PMC7006292" TargetMode="External" /><Relationship Type="http://schemas.openxmlformats.org/officeDocument/2006/relationships/hyperlink" Id="rId127" Target="https://www.ncbi.nlm.nih.gov/pmc/articles/PMC8074658" TargetMode="External" /><Relationship Type="http://schemas.openxmlformats.org/officeDocument/2006/relationships/hyperlink" Id="rId108" Target="https://www.ncbi.nlm.nih.gov/pubmed/16199517" TargetMode="External" /><Relationship Type="http://schemas.openxmlformats.org/officeDocument/2006/relationships/hyperlink" Id="rId69" Target="https://www.ncbi.nlm.nih.gov/pubmed/22174245" TargetMode="External" /><Relationship Type="http://schemas.openxmlformats.org/officeDocument/2006/relationships/hyperlink" Id="rId105" Target="https://www.ncbi.nlm.nih.gov/pubmed/25915600" TargetMode="External" /><Relationship Type="http://schemas.openxmlformats.org/officeDocument/2006/relationships/hyperlink" Id="rId100" Target="https://www.ncbi.nlm.nih.gov/pubmed/26356912" TargetMode="External" /><Relationship Type="http://schemas.openxmlformats.org/officeDocument/2006/relationships/hyperlink" Id="rId132" Target="https://www.ncbi.nlm.nih.gov/pubmed/27006077" TargetMode="External" /><Relationship Type="http://schemas.openxmlformats.org/officeDocument/2006/relationships/hyperlink" Id="rId61" Target="https://www.ncbi.nlm.nih.gov/pubmed/30357313" TargetMode="External" /><Relationship Type="http://schemas.openxmlformats.org/officeDocument/2006/relationships/hyperlink" Id="rId88" Target="https://www.ncbi.nlm.nih.gov/pubmed/32082366" TargetMode="External" /><Relationship Type="http://schemas.openxmlformats.org/officeDocument/2006/relationships/hyperlink" Id="rId129" Target="https://www.ncbi.nlm.nih.gov/pubmed/33001806" TargetMode="External" /><Relationship Type="http://schemas.openxmlformats.org/officeDocument/2006/relationships/hyperlink" Id="rId125" Target="https://www.ncbi.nlm.nih.gov/pubmed/33972855" TargetMode="External" /><Relationship Type="http://schemas.openxmlformats.org/officeDocument/2006/relationships/hyperlink" Id="rId93" Target="https://www.ncbi.nlm.nih.gov/pubmed/984356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dependence coefficient based on machine learning</dc:title>
  <dc:creator/>
  <dc:language>en-US</dc:language>
  <cp:keywords>correlation coefficient, nonlinear relationships, gene expression</cp:keywords>
  <dcterms:created xsi:type="dcterms:W3CDTF">2022-02-07T15:16:08Z</dcterms:created>
  <dcterms:modified xsi:type="dcterms:W3CDTF">2022-02-07T15:16:08Z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2022-02-07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