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greenelab/covid19-review@126530f</w:t>
        </w:r>
      </w:hyperlink>
      <w:r>
        <w:t xml:space="preserve"> </w:t>
      </w:r>
      <w:r>
        <w:t xml:space="preserve">on October 10,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nPuLx9h5"/>
    <w:p>
      <w:pPr>
        <w:pStyle w:val="Bibliography"/>
      </w:pPr>
      <w:r>
        <w:t xml:space="preserve">24.</w:t>
      </w:r>
      <w:r>
        <w:t xml:space="preserve"> </w:t>
      </w:r>
      <w:r>
        <w:t xml:space="preserve">	</w:t>
      </w:r>
      <w:r>
        <w:t xml:space="preserve">COVID-19 Review Consortium. 2022.</w:t>
      </w:r>
      <w:r>
        <w:t xml:space="preserve"> </w:t>
      </w:r>
      <w:hyperlink r:id="rId95">
        <w:r>
          <w:rPr>
            <w:rStyle w:val="Hyperlink"/>
          </w:rPr>
          <w:t xml:space="preserve">The Coming of Age of Nucleic Acid Vaccines during COVID-19</w:t>
        </w:r>
      </w:hyperlink>
      <w:r>
        <w:t xml:space="preserve">. Manubot.</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10 October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10 October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10 October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10 October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10 October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10 October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10 October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10 October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10 October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10 October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10 October 2022.</w:t>
      </w:r>
    </w:p>
    <w:bookmarkEnd w:id="230"/>
    <w:bookmarkStart w:id="232" w:name="ref-yQVSsUGy"/>
    <w:p>
      <w:pPr>
        <w:pStyle w:val="Bibliography"/>
      </w:pPr>
      <w:r>
        <w:t xml:space="preserve">92.</w:t>
      </w:r>
      <w:r>
        <w:t xml:space="preserve"> </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10 October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10 October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C, Nguyen ice,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10 October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Mbs6HFHG"/>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https://www.cdc.gov/coronavirus/2019-ncov/variants/variant-classifications.html</w:t>
        </w:r>
      </w:hyperlink>
      <w:r>
        <w:t xml:space="preserve">. Retrieved 10 October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10 October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w:t>
      </w:r>
      <w:r>
        <w:t xml:space="preserve"> </w:t>
      </w:r>
      <w:hyperlink r:id="rId443">
        <w:r>
          <w:rPr>
            <w:rStyle w:val="Hyperlink"/>
          </w:rPr>
          <w:t xml:space="preserve">SARS-CoV-2 spike E484K mutation reduces antibody neutralisation</w:t>
        </w:r>
      </w:hyperlink>
      <w:r>
        <w:t xml:space="preserve">. The Lancet Microbe 2:e283–e284.</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10 October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10 October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Ritchie H, Mathieu E, Rodés-Guirao L, Appel C, Giattino C, Ortiz-Ospina E, Hasell J, Macdonald B, Beltekian D,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10 October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126530f3d24d798b519a1aec8166e7f2a4e59f1c"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26530f3d24d798b519a1aec8166e7f2a4e59f1c/" TargetMode="External" /><Relationship Type="http://schemas.openxmlformats.org/officeDocument/2006/relationships/hyperlink" Id="rId22" Target="https://greenelab.github.io/covid19-review/v/126530f3d24d798b519a1aec8166e7f2a4e59f1c/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95"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126530f3d24d798b519a1aec8166e7f2a4e59f1c"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26530f3d24d798b519a1aec8166e7f2a4e59f1c/" TargetMode="External" /><Relationship Type="http://schemas.openxmlformats.org/officeDocument/2006/relationships/hyperlink" Id="rId22" Target="https://greenelab.github.io/covid19-review/v/126530f3d24d798b519a1aec8166e7f2a4e59f1c/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95" Target="https://greenelab.github.io/covid19-review/v/3bf0adea3375b10ef9c22359ed279f41f49c02c2/#the-coming-of-age-of-nucleic-acid-vaccines-during-covid-19"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2022-10-10T16:03:07Z</dcterms:created>
  <dcterms:modified xsi:type="dcterms:W3CDTF">2022-10-10T16:03:07Z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2022-10-10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