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greenelab/czi-seed-rfa@4b24239</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 3) short course and educational materials that will increase</w:t>
      </w:r>
      <w:r>
        <w:t xml:space="preserve"> </w:t>
      </w:r>
      <w:r>
        <w:t xml:space="preserve">the use and impact of low-dimensional representations and the HCA in general.</w:t>
      </w:r>
    </w:p>
    <w:p>
      <w:pPr>
        <w:pStyle w:val="Heading2"/>
      </w:pPr>
      <w:bookmarkStart w:id="47" w:name="five-key-references"/>
      <w:r>
        <w:t xml:space="preserve">Five Key References</w:t>
      </w:r>
      <w:bookmarkEnd w:id="47"/>
    </w:p>
    <w:p>
      <w:pPr>
        <w:numPr>
          <w:numId w:val="1002"/>
          <w:ilvl w:val="0"/>
        </w:numPr>
      </w:pPr>
      <w:r>
        <w:t xml:space="preserve">Stephanie C Hicks, F William Townes, Mingxiang Teng, Rafael A Irizarry.</w:t>
      </w:r>
      <w:r>
        <w:t xml:space="preserve"> </w:t>
      </w:r>
      <w:r>
        <w:t xml:space="preserve">Missing data and technical variability in single-cell RNA-sequencing experiments.</w:t>
      </w:r>
      <w:r>
        <w:t xml:space="preserve"> </w:t>
      </w:r>
      <w:r>
        <w:t xml:space="preserve">Biostatistics (2017-11-06) https://doi.org/gfb8g4</w:t>
      </w:r>
      <w:r>
        <w:t xml:space="preserve"> </w:t>
      </w:r>
      <w:r>
        <w:t xml:space="preserve">DOI: 10.1093/biostatistics/kxx053 · PMID: 29121214 · PMCID: PMC6215955</w:t>
      </w:r>
    </w:p>
    <w:p>
      <w:pPr>
        <w:numPr>
          <w:numId w:val="1002"/>
          <w:ilvl w:val="0"/>
        </w:numPr>
      </w:pPr>
      <w:r>
        <w:t xml:space="preserve">Genevieve L Stein-O’Brien, Brian S. Clark, Thomas Sherman, Christina Zibetti, Qiwen Hu, Rachel Sealfon, Sheng Liu, Jiang Qian, Carlo Colantuoni, Seth Blackshaw, Loyal A. Goff, Elana J. Fertig.</w:t>
      </w:r>
      <w:r>
        <w:t xml:space="preserve"> </w:t>
      </w:r>
      <w:r>
        <w:t xml:space="preserve">Decomposing cell identity for transfer learning across cellular measurements, platforms, tissues, and species.</w:t>
      </w:r>
      <w:r>
        <w:t xml:space="preserve"> </w:t>
      </w:r>
      <w:r>
        <w:t xml:space="preserve">Cold Spring Harbor Laboratory (2018-08-20) https://doi.org/gd2xpn</w:t>
      </w:r>
      <w:r>
        <w:t xml:space="preserve"> </w:t>
      </w:r>
      <w:r>
        <w:t xml:space="preserve">DOI: 10.1101/395004</w:t>
      </w:r>
    </w:p>
    <w:p>
      <w:pPr>
        <w:numPr>
          <w:numId w:val="1002"/>
          <w:ilvl w:val="0"/>
        </w:numPr>
      </w:pPr>
      <w:r>
        <w:t xml:space="preserve">Avi Srivastava, Laraib Malik, Tom Sean Smith, Ian Sudbery, Rob Patro.</w:t>
      </w:r>
      <w:r>
        <w:t xml:space="preserve"> </w:t>
      </w:r>
      <w:r>
        <w:t xml:space="preserve">Alevin efficiently estimates accurate gene abundances from dscRNA-seq data.</w:t>
      </w:r>
      <w:r>
        <w:t xml:space="preserve"> </w:t>
      </w:r>
      <w:r>
        <w:t xml:space="preserve">Cold Spring Harbor Laboratory (2018-06-01) https://doi.org/gffk42</w:t>
      </w:r>
      <w:r>
        <w:t xml:space="preserve"> </w:t>
      </w:r>
      <w:r>
        <w:t xml:space="preserve">DOI: 10.1101/335000</w:t>
      </w:r>
    </w:p>
    <w:p>
      <w:pPr>
        <w:numPr>
          <w:numId w:val="1002"/>
          <w:ilvl w:val="0"/>
        </w:numPr>
      </w:pPr>
      <w:r>
        <w:t xml:space="preserve">Brian Clark, Genevieve Stein-O’Brien, Fion Shiau, Gabrielle Cannon, Emily Davis, Thomas Sherman, Fatemeh Rajaii, Rebecca James-Esposito, Richard Gronostajski, Elana J. Fertig, Loyal A. Goff, Seth Blackshaw.</w:t>
      </w:r>
      <w:r>
        <w:t xml:space="preserve"> </w:t>
      </w:r>
      <w:r>
        <w:t xml:space="preserve">Comprehensive analysis of retinal development at single cell resolution identifies NFI factors as essential for mitotic exit and specification of late-born cells.</w:t>
      </w:r>
      <w:r>
        <w:t xml:space="preserve"> </w:t>
      </w:r>
      <w:r>
        <w:t xml:space="preserve">Cold Spring Harbor Laboratory (2018-07-27) https://doi.org/gdwrzh</w:t>
      </w:r>
      <w:r>
        <w:t xml:space="preserve"> </w:t>
      </w:r>
      <w:r>
        <w:t xml:space="preserve">DOI: 10.1101/378950</w:t>
      </w:r>
    </w:p>
    <w:p>
      <w:pPr>
        <w:numPr>
          <w:numId w:val="1002"/>
          <w:ilvl w:val="0"/>
        </w:numPr>
      </w:pPr>
      <w:r>
        <w:t xml:space="preserve">Rob Patro &amp; Michael Love.</w:t>
      </w:r>
      <w:r>
        <w:t xml:space="preserve"> </w:t>
      </w:r>
      <w:r>
        <w:t xml:space="preserve">tximeta.</w:t>
      </w:r>
      <w:r>
        <w:t xml:space="preserve"> </w:t>
      </w:r>
      <w:r>
        <w:t xml:space="preserve">Bioconductor (2018) https://doi.org/gfddxw</w:t>
      </w:r>
      <w:r>
        <w:t xml:space="preserve"> </w:t>
      </w:r>
      <w:r>
        <w:t xml:space="preserve">DOI: 10.18129/b9.bioc.tximeta</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A. Goff is an Assistant Professor of Neuroscience at Johns Hopkins University. He is an expert in high-throughput gene expression analysis with a focus on neural development, cell fate specification, and neurodegeneration. He has extensive experience in experimental molecular biology, technology development, and computational analysis and software development for RNA-Seq. In collaboration with Dr. Fertig, he has developed the transfer learning tool ProjectR</w:t>
      </w:r>
      <w:r>
        <w:t xml:space="preserve"> </w:t>
      </w:r>
      <w:r>
        <w:t xml:space="preserve">[</w:t>
      </w:r>
      <w:hyperlink w:anchor="ref-cJPxOJMp">
        <w:r>
          <w:rPr>
            <w:rStyle w:val="Hyperlink"/>
          </w:rPr>
          <w:t xml:space="preserve">1</w:t>
        </w:r>
      </w:hyperlink>
      <w:r>
        <w:t xml:space="preserve">]</w:t>
      </w:r>
      <w:r>
        <w:t xml:space="preserve">, and helped adapt scCoGAPs for scRNA-Seq data. Dr. Goff will serve as coordinating PI and in collaboration with co-PIs, will develop a catalog of low-dimensional representations of HCA data (Aim 1) and contribute to the development and implementation of the educational materials (Aim 3).</w:t>
      </w:r>
    </w:p>
    <w:p>
      <w:pPr>
        <w:pStyle w:val="Compact"/>
        <w:numPr>
          <w:numId w:val="1011"/>
          <w:ilvl w:val="0"/>
        </w:numPr>
      </w:pPr>
      <w:r>
        <w:t xml:space="preserve">Stephanie C. Hicks is an Assistant Professor of Biostatistics at the Johns Hopkins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2</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2).</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3</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1</w:t>
        </w:r>
      </w:hyperlink>
      <w:r>
        <w:t xml:space="preserve">]</w:t>
      </w:r>
      <w:r>
        <w:t xml:space="preserve">. Dr. Fertig will incorporate error models from Aim 1 into latent space representations, dimensionality estimation, and biological assessment metrics in Aim 2. She is developing standardized language for latent space representation in collaboration with other co-PIs</w:t>
      </w:r>
      <w:r>
        <w:t xml:space="preserve">[</w:t>
      </w:r>
      <w:hyperlink w:anchor="ref-Sn52lYwa">
        <w:r>
          <w:rPr>
            <w:rStyle w:val="Hyperlink"/>
          </w:rPr>
          <w:t xml:space="preserve">4</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5</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with co-PI Tom Hampton. He will enhance and extend this curriculum to support machine learning methods over the HCA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including the development of short courses taught at Mount Desert Island Biological Laboratory and at Dartmouth. Dr Hampton’s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9</w:t>
        </w:r>
      </w:hyperlink>
      <w:r>
        <w:t xml:space="preserve">]</w:t>
      </w:r>
      <w:r>
        <w:t xml:space="preserve"> </w:t>
      </w:r>
      <w:r>
        <w:t xml:space="preserve">and tximport</w:t>
      </w:r>
      <w:r>
        <w:t xml:space="preserve"> </w:t>
      </w:r>
      <w:r>
        <w:t xml:space="preserve">[</w:t>
      </w:r>
      <w:hyperlink w:anchor="ref-9CN5KEFo">
        <w:r>
          <w:rPr>
            <w:rStyle w:val="Hyperlink"/>
          </w:rPr>
          <w:t xml:space="preserve">10</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11</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open-source genomics tools</w:t>
        </w:r>
      </w:hyperlink>
      <w:r>
        <w:t xml:space="preserve">. He is the primary developer of the popular transcript quantification tools Sailfish</w:t>
      </w:r>
      <w:r>
        <w:t xml:space="preserve"> </w:t>
      </w:r>
      <w:r>
        <w:t xml:space="preserve">[</w:t>
      </w:r>
      <w:hyperlink w:anchor="ref-RIPzCufe">
        <w:r>
          <w:rPr>
            <w:rStyle w:val="Hyperlink"/>
          </w:rPr>
          <w:t xml:space="preserve">12</w:t>
        </w:r>
      </w:hyperlink>
      <w:r>
        <w:t xml:space="preserve">]</w:t>
      </w:r>
      <w:r>
        <w:t xml:space="preserve"> </w:t>
      </w:r>
      <w:r>
        <w:t xml:space="preserve">and Salmon</w:t>
      </w:r>
      <w:r>
        <w:t xml:space="preserve"> </w:t>
      </w:r>
      <w:r>
        <w:t xml:space="preserve">[</w:t>
      </w:r>
      <w:hyperlink w:anchor="ref-vrqQcFyx">
        <w:r>
          <w:rPr>
            <w:rStyle w:val="Hyperlink"/>
          </w:rPr>
          <w:t xml:space="preserve">11</w:t>
        </w:r>
      </w:hyperlink>
      <w:r>
        <w:t xml:space="preserve">]</w:t>
      </w:r>
      <w:r>
        <w:t xml:space="preserve">. Dr. Love and he are actively collaborating on improved methods for transcript quantification, differential testing, and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13</w:t>
        </w:r>
      </w:hyperlink>
      <w:r>
        <w:t xml:space="preserve">]</w:t>
      </w:r>
      <w:r>
        <w:t xml:space="preserve">. He is focused on developing improved methods for gene-level quantification from tagged-end scRNA-Seq data, as implemented in the tool alevin</w:t>
      </w:r>
      <w:r>
        <w:t xml:space="preserve"> </w:t>
      </w:r>
      <w:r>
        <w:t xml:space="preserve">[</w:t>
      </w:r>
      <w:hyperlink w:anchor="ref-FPpU83vH">
        <w:r>
          <w:rPr>
            <w:rStyle w:val="Hyperlink"/>
          </w:rPr>
          <w:t xml:space="preserve">14</w:t>
        </w:r>
      </w:hyperlink>
      <w:r>
        <w:t xml:space="preserve">]</w:t>
      </w:r>
      <w:r>
        <w:t xml:space="preserve">. He will work with co-PIs to develop improved single-cell quantification tools that account for gene-ambiguous reads and provide quantification uncertainty estimates — which is important for accurate and robust creation of reduced-dimensionality representations. He will additionally develop algorithms and data structures to enable efficient expression and sample search over low-dimensional representations of HCA data (Aim 1).</w:t>
      </w:r>
    </w:p>
    <w:p>
      <w:pPr>
        <w:pStyle w:val="Heading2"/>
      </w:pPr>
      <w:bookmarkStart w:id="53" w:name="proposal-body"/>
      <w:r>
        <w:t xml:space="preserve">Proposal Body</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15</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1</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14</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14</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 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versioned</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reference catalog of cellular features using low-dimensional representations can</w:t>
      </w:r>
      <w:r>
        <w:t xml:space="preserve"> </w:t>
      </w:r>
      <w:r>
        <w:t xml:space="preserve">help to 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1</w:t>
        </w:r>
      </w:hyperlink>
      <w:r>
        <w:t xml:space="preserve">]</w:t>
      </w:r>
      <w:r>
        <w:t xml:space="preserve"> </w:t>
      </w:r>
      <w:r>
        <w:t xml:space="preserve">(PIs Greene, Goff &amp; Fertig).</w:t>
      </w:r>
      <w:r>
        <w:t xml:space="preserve"> </w:t>
      </w:r>
      <w:r>
        <w:t xml:space="preserve">These provide a foundation to compare different low-dimensional representations</w:t>
      </w:r>
      <w:r>
        <w:t xml:space="preserve"> </w:t>
      </w:r>
      <w:r>
        <w:t xml:space="preserve">through cross-validation techniques by learning representations in source datasets and testing their ability to transfer into a target dataset.</w:t>
      </w:r>
      <w:r>
        <w:t xml:space="preserve"> </w:t>
      </w:r>
      <w:r>
        <w:t xml:space="preserve">Generalizable representations should also be robust in cross-study validation, transferring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6</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of the HCA and annotate these</w:t>
      </w:r>
      <w:r>
        <w:t xml:space="preserve"> </w:t>
      </w:r>
      <w:r>
        <w:t xml:space="preserve">latent spaces via their corresponding celluar features. We will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13</w:t>
        </w:r>
      </w:hyperlink>
      <w:r>
        <w:t xml:space="preserve">]</w:t>
      </w:r>
      <w:r>
        <w:t xml:space="preserve">.</w:t>
      </w:r>
      <w:r>
        <w:t xml:space="preserve"> </w:t>
      </w:r>
      <w:r>
        <w:t xml:space="preserve">Our versioning and dissemination of reference latent space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 machine learning</w:t>
      </w:r>
      <w:r>
        <w:t xml:space="preserve"> </w:t>
      </w:r>
      <w:r>
        <w:t xml:space="preserve">methods (PI Greene), 4) statistics for genomics (PIs Fertig and Hicks), 4) search and analysis</w:t>
      </w:r>
      <w:r>
        <w:t xml:space="preserve"> </w:t>
      </w:r>
      <w:r>
        <w:t xml:space="preserve">in low-dimensional 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w:t>
      </w:r>
      <w:r>
        <w:t xml:space="preserve"> </w:t>
      </w:r>
      <w:r>
        <w:t xml:space="preserve">will facilitate scientific collaborations by engaging participants in utilizing these tools for</w:t>
      </w:r>
      <w:r>
        <w:t xml:space="preserve"> </w:t>
      </w:r>
      <w:r>
        <w:t xml:space="preserve">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1" w:name="ref-cJPxOJMp"/>
    <w:p>
      <w:pPr>
        <w:pStyle w:val="FirstParagraph"/>
      </w:pPr>
      <w:r>
        <w:t xml:space="preserve">1.</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59">
        <w:r>
          <w:rPr>
            <w:rStyle w:val="Hyperlink"/>
          </w:rPr>
          <w:t xml:space="preserve">https://doi.org/gd2xpn</w:t>
        </w:r>
      </w:hyperlink>
      <w:r>
        <w:br w:type="textWrapping"/>
      </w:r>
      <w:r>
        <w:t xml:space="preserve">DOI:</w:t>
      </w:r>
      <w:r>
        <w:t xml:space="preserve"> </w:t>
      </w:r>
      <w:hyperlink r:id="rId60">
        <w:r>
          <w:rPr>
            <w:rStyle w:val="Hyperlink"/>
          </w:rPr>
          <w:t xml:space="preserve">10.1101/395004</w:t>
        </w:r>
      </w:hyperlink>
    </w:p>
    <w:bookmarkEnd w:id="61"/>
    <w:bookmarkStart w:id="66" w:name="ref-DJaucmAA"/>
    <w:p>
      <w:pPr>
        <w:pStyle w:val="BodyText"/>
      </w:pPr>
      <w:r>
        <w:t xml:space="preserve">2.</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62">
        <w:r>
          <w:rPr>
            <w:rStyle w:val="Hyperlink"/>
          </w:rPr>
          <w:t xml:space="preserve">https://doi.org/gfb8g4</w:t>
        </w:r>
      </w:hyperlink>
      <w:r>
        <w:br w:type="textWrapping"/>
      </w:r>
      <w:r>
        <w:t xml:space="preserve">DOI:</w:t>
      </w:r>
      <w:r>
        <w:t xml:space="preserve"> </w:t>
      </w:r>
      <w:hyperlink r:id="rId63">
        <w:r>
          <w:rPr>
            <w:rStyle w:val="Hyperlink"/>
          </w:rPr>
          <w:t xml:space="preserve">10.1093/biostatistics/kxx053</w:t>
        </w:r>
      </w:hyperlink>
      <w:r>
        <w:t xml:space="preserve"> </w:t>
      </w:r>
      <w:r>
        <w:t xml:space="preserve">· PMID:</w:t>
      </w:r>
      <w:r>
        <w:t xml:space="preserve"> </w:t>
      </w:r>
      <w:hyperlink r:id="rId64">
        <w:r>
          <w:rPr>
            <w:rStyle w:val="Hyperlink"/>
          </w:rPr>
          <w:t xml:space="preserve">29121214</w:t>
        </w:r>
      </w:hyperlink>
      <w:r>
        <w:t xml:space="preserve"> </w:t>
      </w:r>
      <w:r>
        <w:t xml:space="preserve">· PMCID:</w:t>
      </w:r>
      <w:r>
        <w:t xml:space="preserve"> </w:t>
      </w:r>
      <w:hyperlink r:id="rId65">
        <w:r>
          <w:rPr>
            <w:rStyle w:val="Hyperlink"/>
          </w:rPr>
          <w:t xml:space="preserve">PMC6215955</w:t>
        </w:r>
      </w:hyperlink>
    </w:p>
    <w:bookmarkEnd w:id="66"/>
    <w:bookmarkStart w:id="71" w:name="ref-1DrhKLdVp"/>
    <w:p>
      <w:pPr>
        <w:pStyle w:val="BodyText"/>
      </w:pPr>
      <w:r>
        <w:t xml:space="preserve">3.</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67">
        <w:r>
          <w:rPr>
            <w:rStyle w:val="Hyperlink"/>
          </w:rPr>
          <w:t xml:space="preserve">https://doi.org/cwqsv4</w:t>
        </w:r>
      </w:hyperlink>
      <w:r>
        <w:br w:type="textWrapping"/>
      </w:r>
      <w:r>
        <w:t xml:space="preserve">DOI:</w:t>
      </w:r>
      <w:r>
        <w:t xml:space="preserve"> </w:t>
      </w:r>
      <w:hyperlink r:id="rId68">
        <w:r>
          <w:rPr>
            <w:rStyle w:val="Hyperlink"/>
          </w:rPr>
          <w:t xml:space="preserve">10.1093/bioinformatics/btq503</w:t>
        </w:r>
      </w:hyperlink>
      <w:r>
        <w:t xml:space="preserve"> </w:t>
      </w:r>
      <w:r>
        <w:t xml:space="preserve">· PMID:</w:t>
      </w:r>
      <w:r>
        <w:t xml:space="preserve"> </w:t>
      </w:r>
      <w:hyperlink r:id="rId69">
        <w:r>
          <w:rPr>
            <w:rStyle w:val="Hyperlink"/>
          </w:rPr>
          <w:t xml:space="preserve">20810601</w:t>
        </w:r>
      </w:hyperlink>
      <w:r>
        <w:t xml:space="preserve"> </w:t>
      </w:r>
      <w:r>
        <w:t xml:space="preserve">· PMCID:</w:t>
      </w:r>
      <w:r>
        <w:t xml:space="preserve"> </w:t>
      </w:r>
      <w:hyperlink r:id="rId70">
        <w:r>
          <w:rPr>
            <w:rStyle w:val="Hyperlink"/>
          </w:rPr>
          <w:t xml:space="preserve">PMC3025742</w:t>
        </w:r>
      </w:hyperlink>
    </w:p>
    <w:bookmarkEnd w:id="71"/>
    <w:bookmarkStart w:id="75" w:name="ref-Sn52lYwa"/>
    <w:p>
      <w:pPr>
        <w:pStyle w:val="BodyText"/>
      </w:pPr>
      <w:r>
        <w:t xml:space="preserve">4.</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2">
        <w:r>
          <w:rPr>
            <w:rStyle w:val="Hyperlink"/>
          </w:rPr>
          <w:t xml:space="preserve">https://doi.org/gd93tk</w:t>
        </w:r>
      </w:hyperlink>
      <w:r>
        <w:br w:type="textWrapping"/>
      </w:r>
      <w:r>
        <w:t xml:space="preserve">DOI:</w:t>
      </w:r>
      <w:r>
        <w:t xml:space="preserve"> </w:t>
      </w:r>
      <w:hyperlink r:id="rId73">
        <w:r>
          <w:rPr>
            <w:rStyle w:val="Hyperlink"/>
          </w:rPr>
          <w:t xml:space="preserve">10.1016/j.tig.2018.07.003</w:t>
        </w:r>
      </w:hyperlink>
      <w:r>
        <w:t xml:space="preserve"> </w:t>
      </w:r>
      <w:r>
        <w:t xml:space="preserve">· PMID:</w:t>
      </w:r>
      <w:r>
        <w:t xml:space="preserve"> </w:t>
      </w:r>
      <w:hyperlink r:id="rId74">
        <w:r>
          <w:rPr>
            <w:rStyle w:val="Hyperlink"/>
          </w:rPr>
          <w:t xml:space="preserve">30143323</w:t>
        </w:r>
      </w:hyperlink>
    </w:p>
    <w:bookmarkEnd w:id="75"/>
    <w:bookmarkStart w:id="80" w:name="ref-1CFhfCyWN"/>
    <w:p>
      <w:pPr>
        <w:pStyle w:val="BodyText"/>
      </w:pPr>
      <w:r>
        <w:t xml:space="preserve">5.</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76">
        <w:r>
          <w:rPr>
            <w:rStyle w:val="Hyperlink"/>
          </w:rPr>
          <w:t xml:space="preserve">https://doi.org/gcgmbq</w:t>
        </w:r>
      </w:hyperlink>
      <w:r>
        <w:br w:type="textWrapping"/>
      </w:r>
      <w:r>
        <w:t xml:space="preserve">DOI:</w:t>
      </w:r>
      <w:r>
        <w:t xml:space="preserve"> </w:t>
      </w:r>
      <w:hyperlink r:id="rId77">
        <w:r>
          <w:rPr>
            <w:rStyle w:val="Hyperlink"/>
          </w:rPr>
          <w:t xml:space="preserve">10.1128/msystems.00025-15</w:t>
        </w:r>
      </w:hyperlink>
      <w:r>
        <w:t xml:space="preserve"> </w:t>
      </w:r>
      <w:r>
        <w:t xml:space="preserve">· PMID:</w:t>
      </w:r>
      <w:r>
        <w:t xml:space="preserve"> </w:t>
      </w:r>
      <w:hyperlink r:id="rId78">
        <w:r>
          <w:rPr>
            <w:rStyle w:val="Hyperlink"/>
          </w:rPr>
          <w:t xml:space="preserve">27822512</w:t>
        </w:r>
      </w:hyperlink>
      <w:r>
        <w:t xml:space="preserve"> </w:t>
      </w:r>
      <w:r>
        <w:t xml:space="preserve">· PMCID:</w:t>
      </w:r>
      <w:r>
        <w:t xml:space="preserve"> </w:t>
      </w:r>
      <w:hyperlink r:id="rId79">
        <w:r>
          <w:rPr>
            <w:rStyle w:val="Hyperlink"/>
          </w:rPr>
          <w:t xml:space="preserve">PMC5069748</w:t>
        </w:r>
      </w:hyperlink>
    </w:p>
    <w:bookmarkEnd w:id="80"/>
    <w:bookmarkStart w:id="85" w:name="ref-Hlprh8TG"/>
    <w:p>
      <w:pPr>
        <w:pStyle w:val="BodyText"/>
      </w:pPr>
      <w:r>
        <w:t xml:space="preserve">6.</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1">
        <w:r>
          <w:rPr>
            <w:rStyle w:val="Hyperlink"/>
          </w:rPr>
          <w:t xml:space="preserve">https://doi.org/gcw9f4</w:t>
        </w:r>
      </w:hyperlink>
      <w:r>
        <w:br w:type="textWrapping"/>
      </w:r>
      <w:r>
        <w:t xml:space="preserve">DOI:</w:t>
      </w:r>
      <w:r>
        <w:t xml:space="preserve"> </w:t>
      </w:r>
      <w:hyperlink r:id="rId82">
        <w:r>
          <w:rPr>
            <w:rStyle w:val="Hyperlink"/>
          </w:rPr>
          <w:t xml:space="preserve">10.1016/j.cels.2017.06.003</w:t>
        </w:r>
      </w:hyperlink>
      <w:r>
        <w:t xml:space="preserve"> </w:t>
      </w:r>
      <w:r>
        <w:t xml:space="preserve">· PMID:</w:t>
      </w:r>
      <w:r>
        <w:t xml:space="preserve"> </w:t>
      </w:r>
      <w:hyperlink r:id="rId83">
        <w:r>
          <w:rPr>
            <w:rStyle w:val="Hyperlink"/>
          </w:rPr>
          <w:t xml:space="preserve">28711280</w:t>
        </w:r>
      </w:hyperlink>
      <w:r>
        <w:t xml:space="preserve"> </w:t>
      </w:r>
      <w:r>
        <w:t xml:space="preserve">· PMCID:</w:t>
      </w:r>
      <w:r>
        <w:t xml:space="preserve"> </w:t>
      </w:r>
      <w:hyperlink r:id="rId84">
        <w:r>
          <w:rPr>
            <w:rStyle w:val="Hyperlink"/>
          </w:rPr>
          <w:t xml:space="preserve">PMC5532071</w:t>
        </w:r>
      </w:hyperlink>
    </w:p>
    <w:bookmarkEnd w:id="85"/>
    <w:bookmarkStart w:id="89" w:name="ref-1EDo3CSrj"/>
    <w:p>
      <w:pPr>
        <w:pStyle w:val="BodyText"/>
      </w:pPr>
      <w:r>
        <w:t xml:space="preserve">7.</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86">
        <w:r>
          <w:rPr>
            <w:rStyle w:val="Hyperlink"/>
          </w:rPr>
          <w:t xml:space="preserve">https://www.ncbi.nlm.nih.gov/pubmed/29218871</w:t>
        </w:r>
      </w:hyperlink>
      <w:r>
        <w:br w:type="textWrapping"/>
      </w:r>
      <w:r>
        <w:t xml:space="preserve">PMID:</w:t>
      </w:r>
      <w:r>
        <w:t xml:space="preserve"> </w:t>
      </w:r>
      <w:hyperlink r:id="rId87">
        <w:r>
          <w:rPr>
            <w:rStyle w:val="Hyperlink"/>
          </w:rPr>
          <w:t xml:space="preserve">29218871</w:t>
        </w:r>
      </w:hyperlink>
      <w:r>
        <w:t xml:space="preserve"> </w:t>
      </w:r>
      <w:r>
        <w:t xml:space="preserve">· PMCID:</w:t>
      </w:r>
      <w:r>
        <w:t xml:space="preserve"> </w:t>
      </w:r>
      <w:hyperlink r:id="rId88">
        <w:r>
          <w:rPr>
            <w:rStyle w:val="Hyperlink"/>
          </w:rPr>
          <w:t xml:space="preserve">PMC5728678</w:t>
        </w:r>
      </w:hyperlink>
    </w:p>
    <w:bookmarkEnd w:id="89"/>
    <w:bookmarkStart w:id="92" w:name="ref-5CsWRjfp"/>
    <w:p>
      <w:pPr>
        <w:pStyle w:val="BodyText"/>
      </w:pPr>
      <w:r>
        <w:t xml:space="preserve">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0">
        <w:r>
          <w:rPr>
            <w:rStyle w:val="Hyperlink"/>
          </w:rPr>
          <w:t xml:space="preserve">https://doi.org/gdxxjf</w:t>
        </w:r>
      </w:hyperlink>
      <w:r>
        <w:br w:type="textWrapping"/>
      </w:r>
      <w:r>
        <w:t xml:space="preserve">DOI:</w:t>
      </w:r>
      <w:r>
        <w:t xml:space="preserve"> </w:t>
      </w:r>
      <w:hyperlink r:id="rId91">
        <w:r>
          <w:rPr>
            <w:rStyle w:val="Hyperlink"/>
          </w:rPr>
          <w:t xml:space="preserve">10.1101/385534</w:t>
        </w:r>
      </w:hyperlink>
    </w:p>
    <w:bookmarkEnd w:id="92"/>
    <w:bookmarkStart w:id="97" w:name="ref-w9AOzBMw"/>
    <w:p>
      <w:pPr>
        <w:pStyle w:val="BodyText"/>
      </w:pPr>
      <w:r>
        <w:t xml:space="preserve">9.</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3">
        <w:r>
          <w:rPr>
            <w:rStyle w:val="Hyperlink"/>
          </w:rPr>
          <w:t xml:space="preserve">https://doi.org/gd3zvn</w:t>
        </w:r>
      </w:hyperlink>
      <w:r>
        <w:br w:type="textWrapping"/>
      </w:r>
      <w:r>
        <w:t xml:space="preserve">DOI:</w:t>
      </w:r>
      <w:r>
        <w:t xml:space="preserve"> </w:t>
      </w:r>
      <w:hyperlink r:id="rId94">
        <w:r>
          <w:rPr>
            <w:rStyle w:val="Hyperlink"/>
          </w:rPr>
          <w:t xml:space="preserve">10.1186/s13059-014-0550-8</w:t>
        </w:r>
      </w:hyperlink>
      <w:r>
        <w:t xml:space="preserve"> </w:t>
      </w:r>
      <w:r>
        <w:t xml:space="preserve">· PMID:</w:t>
      </w:r>
      <w:r>
        <w:t xml:space="preserve"> </w:t>
      </w:r>
      <w:hyperlink r:id="rId95">
        <w:r>
          <w:rPr>
            <w:rStyle w:val="Hyperlink"/>
          </w:rPr>
          <w:t xml:space="preserve">25516281</w:t>
        </w:r>
      </w:hyperlink>
      <w:r>
        <w:t xml:space="preserve"> </w:t>
      </w:r>
      <w:r>
        <w:t xml:space="preserve">· PMCID:</w:t>
      </w:r>
      <w:r>
        <w:t xml:space="preserve"> </w:t>
      </w:r>
      <w:hyperlink r:id="rId96">
        <w:r>
          <w:rPr>
            <w:rStyle w:val="Hyperlink"/>
          </w:rPr>
          <w:t xml:space="preserve">PMC4302049</w:t>
        </w:r>
      </w:hyperlink>
    </w:p>
    <w:bookmarkEnd w:id="97"/>
    <w:bookmarkStart w:id="102" w:name="ref-9CN5KEFo"/>
    <w:p>
      <w:pPr>
        <w:pStyle w:val="BodyText"/>
      </w:pPr>
      <w:r>
        <w:t xml:space="preserve">10.</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98">
        <w:r>
          <w:rPr>
            <w:rStyle w:val="Hyperlink"/>
          </w:rPr>
          <w:t xml:space="preserve">https://doi.org/gdtgw8</w:t>
        </w:r>
      </w:hyperlink>
      <w:r>
        <w:br w:type="textWrapping"/>
      </w:r>
      <w:r>
        <w:t xml:space="preserve">DOI:</w:t>
      </w:r>
      <w:r>
        <w:t xml:space="preserve"> </w:t>
      </w:r>
      <w:hyperlink r:id="rId99">
        <w:r>
          <w:rPr>
            <w:rStyle w:val="Hyperlink"/>
          </w:rPr>
          <w:t xml:space="preserve">10.12688/f1000research.7563.1</w:t>
        </w:r>
      </w:hyperlink>
      <w:r>
        <w:t xml:space="preserve"> </w:t>
      </w:r>
      <w:r>
        <w:t xml:space="preserve">· PMID:</w:t>
      </w:r>
      <w:r>
        <w:t xml:space="preserve"> </w:t>
      </w:r>
      <w:hyperlink r:id="rId100">
        <w:r>
          <w:rPr>
            <w:rStyle w:val="Hyperlink"/>
          </w:rPr>
          <w:t xml:space="preserve">26925227</w:t>
        </w:r>
      </w:hyperlink>
      <w:r>
        <w:t xml:space="preserve"> </w:t>
      </w:r>
      <w:r>
        <w:t xml:space="preserve">· PMCID:</w:t>
      </w:r>
      <w:r>
        <w:t xml:space="preserve"> </w:t>
      </w:r>
      <w:hyperlink r:id="rId101">
        <w:r>
          <w:rPr>
            <w:rStyle w:val="Hyperlink"/>
          </w:rPr>
          <w:t xml:space="preserve">PMC4712774</w:t>
        </w:r>
      </w:hyperlink>
    </w:p>
    <w:bookmarkEnd w:id="102"/>
    <w:bookmarkStart w:id="107" w:name="ref-vrqQcFyx"/>
    <w:p>
      <w:pPr>
        <w:pStyle w:val="BodyText"/>
      </w:pPr>
      <w:r>
        <w:t xml:space="preserve">11.</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3">
        <w:r>
          <w:rPr>
            <w:rStyle w:val="Hyperlink"/>
          </w:rPr>
          <w:t xml:space="preserve">https://doi.org/gcw9f5</w:t>
        </w:r>
      </w:hyperlink>
      <w:r>
        <w:br w:type="textWrapping"/>
      </w:r>
      <w:r>
        <w:t xml:space="preserve">DOI:</w:t>
      </w:r>
      <w:r>
        <w:t xml:space="preserve"> </w:t>
      </w:r>
      <w:hyperlink r:id="rId104">
        <w:r>
          <w:rPr>
            <w:rStyle w:val="Hyperlink"/>
          </w:rPr>
          <w:t xml:space="preserve">10.1038/nmeth.4197</w:t>
        </w:r>
      </w:hyperlink>
      <w:r>
        <w:t xml:space="preserve"> </w:t>
      </w:r>
      <w:r>
        <w:t xml:space="preserve">· PMID:</w:t>
      </w:r>
      <w:r>
        <w:t xml:space="preserve"> </w:t>
      </w:r>
      <w:hyperlink r:id="rId105">
        <w:r>
          <w:rPr>
            <w:rStyle w:val="Hyperlink"/>
          </w:rPr>
          <w:t xml:space="preserve">28263959</w:t>
        </w:r>
      </w:hyperlink>
      <w:r>
        <w:t xml:space="preserve"> </w:t>
      </w:r>
      <w:r>
        <w:t xml:space="preserve">· PMCID:</w:t>
      </w:r>
      <w:r>
        <w:t xml:space="preserve"> </w:t>
      </w:r>
      <w:hyperlink r:id="rId106">
        <w:r>
          <w:rPr>
            <w:rStyle w:val="Hyperlink"/>
          </w:rPr>
          <w:t xml:space="preserve">PMC5600148</w:t>
        </w:r>
      </w:hyperlink>
    </w:p>
    <w:bookmarkEnd w:id="107"/>
    <w:bookmarkStart w:id="112" w:name="ref-RIPzCufe"/>
    <w:p>
      <w:pPr>
        <w:pStyle w:val="BodyText"/>
      </w:pPr>
      <w:r>
        <w:t xml:space="preserve">12.</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08">
        <w:r>
          <w:rPr>
            <w:rStyle w:val="Hyperlink"/>
          </w:rPr>
          <w:t xml:space="preserve">https://doi.org/gfghc2</w:t>
        </w:r>
      </w:hyperlink>
      <w:r>
        <w:br w:type="textWrapping"/>
      </w:r>
      <w:r>
        <w:t xml:space="preserve">DOI:</w:t>
      </w:r>
      <w:r>
        <w:t xml:space="preserve"> </w:t>
      </w:r>
      <w:hyperlink r:id="rId109">
        <w:r>
          <w:rPr>
            <w:rStyle w:val="Hyperlink"/>
          </w:rPr>
          <w:t xml:space="preserve">10.1038/nbt.2862</w:t>
        </w:r>
      </w:hyperlink>
      <w:r>
        <w:t xml:space="preserve"> </w:t>
      </w:r>
      <w:r>
        <w:t xml:space="preserve">· PMID:</w:t>
      </w:r>
      <w:r>
        <w:t xml:space="preserve"> </w:t>
      </w:r>
      <w:hyperlink r:id="rId110">
        <w:r>
          <w:rPr>
            <w:rStyle w:val="Hyperlink"/>
          </w:rPr>
          <w:t xml:space="preserve">24752080</w:t>
        </w:r>
      </w:hyperlink>
      <w:r>
        <w:t xml:space="preserve"> </w:t>
      </w:r>
      <w:r>
        <w:t xml:space="preserve">· PMCID:</w:t>
      </w:r>
      <w:r>
        <w:t xml:space="preserve"> </w:t>
      </w:r>
      <w:hyperlink r:id="rId111">
        <w:r>
          <w:rPr>
            <w:rStyle w:val="Hyperlink"/>
          </w:rPr>
          <w:t xml:space="preserve">PMC4077321</w:t>
        </w:r>
      </w:hyperlink>
    </w:p>
    <w:bookmarkEnd w:id="112"/>
    <w:bookmarkStart w:id="115" w:name="ref-1FQ0kp4Dj"/>
    <w:p>
      <w:pPr>
        <w:pStyle w:val="BodyText"/>
      </w:pPr>
      <w:r>
        <w:t xml:space="preserve">13.</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3">
        <w:r>
          <w:rPr>
            <w:rStyle w:val="Hyperlink"/>
          </w:rPr>
          <w:t xml:space="preserve">https://doi.org/gfddxw</w:t>
        </w:r>
      </w:hyperlink>
      <w:r>
        <w:br w:type="textWrapping"/>
      </w:r>
      <w:r>
        <w:t xml:space="preserve">DOI:</w:t>
      </w:r>
      <w:r>
        <w:t xml:space="preserve"> </w:t>
      </w:r>
      <w:hyperlink r:id="rId114">
        <w:r>
          <w:rPr>
            <w:rStyle w:val="Hyperlink"/>
          </w:rPr>
          <w:t xml:space="preserve">10.18129/b9.bioc.tximeta</w:t>
        </w:r>
      </w:hyperlink>
    </w:p>
    <w:bookmarkEnd w:id="115"/>
    <w:bookmarkStart w:id="118" w:name="ref-FPpU83vH"/>
    <w:p>
      <w:pPr>
        <w:pStyle w:val="BodyText"/>
      </w:pPr>
      <w:r>
        <w:t xml:space="preserve">14.</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116">
        <w:r>
          <w:rPr>
            <w:rStyle w:val="Hyperlink"/>
          </w:rPr>
          <w:t xml:space="preserve">https://doi.org/gffk42</w:t>
        </w:r>
      </w:hyperlink>
      <w:r>
        <w:br w:type="textWrapping"/>
      </w:r>
      <w:r>
        <w:t xml:space="preserve">DOI:</w:t>
      </w:r>
      <w:r>
        <w:t xml:space="preserve"> </w:t>
      </w:r>
      <w:hyperlink r:id="rId117">
        <w:r>
          <w:rPr>
            <w:rStyle w:val="Hyperlink"/>
          </w:rPr>
          <w:t xml:space="preserve">10.1101/335000</w:t>
        </w:r>
      </w:hyperlink>
    </w:p>
    <w:bookmarkEnd w:id="118"/>
    <w:bookmarkStart w:id="121" w:name="ref-6i1NIkNx"/>
    <w:p>
      <w:pPr>
        <w:pStyle w:val="BodyText"/>
      </w:pPr>
      <w:r>
        <w:t xml:space="preserve">15.</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119">
        <w:r>
          <w:rPr>
            <w:rStyle w:val="Hyperlink"/>
          </w:rPr>
          <w:t xml:space="preserve">https://doi.org/gdwrzh</w:t>
        </w:r>
      </w:hyperlink>
      <w:r>
        <w:br w:type="textWrapping"/>
      </w:r>
      <w:r>
        <w:t xml:space="preserve">DOI:</w:t>
      </w:r>
      <w:r>
        <w:t xml:space="preserve"> </w:t>
      </w:r>
      <w:hyperlink r:id="rId120">
        <w:r>
          <w:rPr>
            <w:rStyle w:val="Hyperlink"/>
          </w:rPr>
          <w:t xml:space="preserve">10.1101/378950</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4b2423998b84dfc73ce0ce063070e9fdd7d1d31c"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4b2423998b84dfc73ce0ce063070e9fdd7d1d31c/"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4b2423998b84dfc73ce0ce063070e9fdd7d1d31c"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4b2423998b84dfc73ce0ce063070e9fdd7d1d31c/"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2018-11-13T23:57:50Z</dcterms:created>
  <dcterms:modified xsi:type="dcterms:W3CDTF">2018-11-13T23:57:50Z</dcterms:modified>
</cp:coreProperties>
</file>