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svg" ContentType="image/svg+xml"/>
  <Override PartName="/word/media/rId76.png" ContentType="image/png"/>
  <Override PartName="/word/media/rId3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greenelab/meta-review@eb7a64b</w:t>
        </w:r>
      </w:hyperlink>
      <w:r>
        <w:t xml:space="preserve"> </w:t>
      </w:r>
      <w:r>
        <w:t xml:space="preserve">on June 14, 2019.</w:t>
      </w:r>
      <w:r>
        <w:t xml:space="preserve"> </w:t>
      </w:r>
    </w:p>
    <w:p>
      <w:pPr>
        <w:pStyle w:val="Heading2"/>
      </w:pPr>
      <w:bookmarkStart w:id="22" w:name="authors"/>
      <w:r>
        <w:t xml:space="preserve">Authors</w:t>
      </w:r>
      <w:bookmarkEnd w:id="22"/>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San Diego, California,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6" w:name="correspondence"/>
    <w:p>
      <w:pPr>
        <w:pStyle w:val="FirstParagraph"/>
      </w:pPr>
      <w:r>
        <w:t xml:space="preserve">* — correspondence preferred via</w:t>
      </w:r>
      <w:r>
        <w:t xml:space="preserve"> </w:t>
      </w:r>
      <w:hyperlink r:id="rId23">
        <w:r>
          <w:rPr>
            <w:rStyle w:val="Hyperlink"/>
          </w:rPr>
          <w:t xml:space="preserve">GitHub Issues</w:t>
        </w:r>
      </w:hyperlink>
      <w:r>
        <w:t xml:space="preserve">.</w:t>
      </w:r>
      <w:r>
        <w:t xml:space="preserve"> </w:t>
      </w:r>
      <w:r>
        <w:t xml:space="preserve">Otherwise, address correspondence to</w:t>
      </w:r>
      <w:r>
        <w:t xml:space="preserve"> </w:t>
      </w:r>
      <w:hyperlink r:id="rId24">
        <w:r>
          <w:rPr>
            <w:rStyle w:val="Hyperlink"/>
          </w:rPr>
          <w:t xml:space="preserve">gitter@biostat.wisc.edu</w:t>
        </w:r>
      </w:hyperlink>
      <w:r>
        <w:t xml:space="preserve"> </w:t>
      </w:r>
      <w:r>
        <w:t xml:space="preserve">and</w:t>
      </w:r>
      <w:r>
        <w:t xml:space="preserve"> </w:t>
      </w:r>
      <w:hyperlink r:id="rId25">
        <w:r>
          <w:rPr>
            <w:rStyle w:val="Hyperlink"/>
          </w:rPr>
          <w:t xml:space="preserve">daniel.himmelstein@gmail.com</w:t>
        </w:r>
      </w:hyperlink>
      <w:r>
        <w:t xml:space="preserve">.</w:t>
      </w:r>
    </w:p>
    <w:bookmarkEnd w:id="26"/>
    <w:p>
      <w:pPr>
        <w:pStyle w:val="Heading2"/>
      </w:pPr>
      <w:bookmarkStart w:id="27" w:name="abstract"/>
      <w:r>
        <w:t xml:space="preserve">Abstract</w:t>
      </w:r>
      <w:bookmarkEnd w:id="27"/>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8">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 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29" w:name="author-summary"/>
      <w:r>
        <w:t xml:space="preserve">Author summary</w:t>
      </w:r>
      <w:bookmarkEnd w:id="29"/>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0" w:name="introduction"/>
      <w:r>
        <w:t xml:space="preserve">Introduction</w:t>
      </w:r>
      <w:bookmarkEnd w:id="30"/>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8">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1">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2">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 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3" w:name="collaborative-writing-platforms"/>
      <w:r>
        <w:t xml:space="preserve">Collaborative writing platforms</w:t>
      </w:r>
      <w:bookmarkEnd w:id="33"/>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4">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5">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6" w:name="contribution-workflow"/>
      <w:r>
        <w:t xml:space="preserve">Manubot contribution workflow</w:t>
      </w:r>
      <w:bookmarkEnd w:id="36"/>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8"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7"/>
                    <a:stretch>
                      <a:fillRect/>
                    </a:stretch>
                  </pic:blipFill>
                  <pic:spPr bwMode="auto">
                    <a:xfrm>
                      <a:off x="0" y="0"/>
                      <a:ext cx="4572000" cy="3048000"/>
                    </a:xfrm>
                    <a:prstGeom prst="rect">
                      <a:avLst/>
                    </a:prstGeom>
                    <a:noFill/>
                    <a:ln w="9525">
                      <a:noFill/>
                      <a:headEnd/>
                      <a:tailEnd/>
                    </a:ln>
                  </pic:spPr>
                </pic:pic>
              </a:graphicData>
            </a:graphic>
          </wp:inline>
        </w:drawing>
      </w:r>
      <w:bookmarkEnd w:id="38"/>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39">
        <w:r>
          <w:rPr>
            <w:rStyle w:val="Hyperlink"/>
          </w:rPr>
          <w:t xml:space="preserve">issue</w:t>
        </w:r>
      </w:hyperlink>
      <w:r>
        <w:t xml:space="preserve"> </w:t>
      </w:r>
      <w:r>
        <w:t xml:space="preserve">and</w:t>
      </w:r>
      <w:r>
        <w:t xml:space="preserve"> </w:t>
      </w:r>
      <w:hyperlink r:id="rId40">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1">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3"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4">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5">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6">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7" w:name="manubot-features"/>
      <w:r>
        <w:t xml:space="preserve">Manubot features</w:t>
      </w:r>
      <w:bookmarkEnd w:id="47"/>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8">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49" w:name="markdown"/>
      <w:r>
        <w:t xml:space="preserve">Markdown</w:t>
      </w:r>
      <w:bookmarkEnd w:id="49"/>
    </w:p>
    <w:p>
      <w:pPr>
        <w:pStyle w:val="FirstParagraph"/>
      </w:pPr>
      <w:r>
        <w:t xml:space="preserve">With Manubot, manuscripts are written as plain-text Markdown files.</w:t>
      </w:r>
      <w:r>
        <w:t xml:space="preserve"> </w:t>
      </w:r>
      <w:r>
        <w:t xml:space="preserve">The</w:t>
      </w:r>
      <w:r>
        <w:t xml:space="preserve"> </w:t>
      </w:r>
      <w:hyperlink r:id="rId50">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1">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2">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3">
        <w:r>
          <w:rPr>
            <w:rStyle w:val="Hyperlink"/>
          </w:rPr>
          <w:t xml:space="preserve">raw Markdown</w:t>
        </w:r>
      </w:hyperlink>
      <w:r>
        <w:t xml:space="preserve"> </w:t>
      </w:r>
      <w:r>
        <w:t xml:space="preserve">and the corresponding</w:t>
      </w:r>
      <w:r>
        <w:t xml:space="preserve"> </w:t>
      </w:r>
      <w:hyperlink r:id="rId54">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5" w:name="citation-by-identifier"/>
      <w:r>
        <w:t xml:space="preserve">Citation by identifier</w:t>
      </w:r>
      <w:bookmarkEnd w:id="55"/>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6">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7">
        <w:r>
          <w:rPr>
            <w:rStyle w:val="Hyperlink"/>
          </w:rPr>
          <w:t xml:space="preserve">pandoc-citeproc</w:t>
        </w:r>
      </w:hyperlink>
      <w:r>
        <w:t xml:space="preserve">.</w:t>
      </w:r>
      <w:r>
        <w:t xml:space="preserve"> </w:t>
      </w:r>
      <w:r>
        <w:t xml:space="preserve">Therefore, Manubot removes invalid fields according to the</w:t>
      </w:r>
      <w:r>
        <w:t xml:space="preserve"> </w:t>
      </w:r>
      <w:hyperlink r:id="rId58">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59">
        <w:r>
          <w:rPr>
            <w:rStyle w:val="Hyperlink"/>
          </w:rPr>
          <w:t xml:space="preserve">Citoid</w:t>
        </w:r>
      </w:hyperlink>
      <w:r>
        <w:t xml:space="preserve"> </w:t>
      </w:r>
      <w:r>
        <w:t xml:space="preserve">service followed by the</w:t>
      </w:r>
      <w:r>
        <w:t xml:space="preserve"> </w:t>
      </w:r>
      <w:hyperlink r:id="rId60">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1">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2">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3">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4">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5">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6">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7">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8">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69" w:name="format-conversion"/>
      <w:r>
        <w:t xml:space="preserve">Format conversion</w:t>
      </w:r>
      <w:bookmarkEnd w:id="69"/>
    </w:p>
    <w:p>
      <w:pPr>
        <w:pStyle w:val="FirstParagraph"/>
      </w:pPr>
      <w:r>
        <w:t xml:space="preserve">Manubot uses</w:t>
      </w:r>
      <w:r>
        <w:t xml:space="preserve"> </w:t>
      </w:r>
      <w:hyperlink r:id="rId70">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1">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2">
        <w:r>
          <w:rPr>
            <w:rStyle w:val="Hyperlink"/>
          </w:rPr>
          <w:t xml:space="preserve">Vega-Lite</w:t>
        </w:r>
      </w:hyperlink>
      <w:r>
        <w:t xml:space="preserve">,</w:t>
      </w:r>
      <w:r>
        <w:t xml:space="preserve"> </w:t>
      </w:r>
      <w:hyperlink r:id="rId73">
        <w:r>
          <w:rPr>
            <w:rStyle w:val="Hyperlink"/>
          </w:rPr>
          <w:t xml:space="preserve">Bokeh</w:t>
        </w:r>
      </w:hyperlink>
      <w:r>
        <w:t xml:space="preserve">, or</w:t>
      </w:r>
      <w:r>
        <w:t xml:space="preserve"> </w:t>
      </w:r>
      <w:hyperlink r:id="rId74">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5" w:name="interactive-features-and-appearance"/>
      <w:r>
        <w:t xml:space="preserve">Interactive features and appearance</w:t>
      </w:r>
      <w:bookmarkEnd w:id="75"/>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7"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6"/>
                    <a:stretch>
                      <a:fillRect/>
                    </a:stretch>
                  </pic:blipFill>
                  <pic:spPr bwMode="auto">
                    <a:xfrm>
                      <a:off x="0" y="0"/>
                      <a:ext cx="5943600" cy="50190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8">
        <w:r>
          <w:rPr>
            <w:rStyle w:val="Hyperlink"/>
          </w:rPr>
          <w:t xml:space="preserve">Sci-Hub Coverage Study</w:t>
        </w:r>
      </w:hyperlink>
      <w:r>
        <w:t xml:space="preserve"> </w:t>
      </w:r>
      <w:r>
        <w:t xml:space="preserve">and</w:t>
      </w:r>
      <w:r>
        <w:t xml:space="preserve"> </w:t>
      </w:r>
      <w:hyperlink r:id="rId79">
        <w:r>
          <w:rPr>
            <w:rStyle w:val="Hyperlink"/>
          </w:rPr>
          <w:t xml:space="preserve">TPOT-FSS</w:t>
        </w:r>
      </w:hyperlink>
      <w:r>
        <w:t xml:space="preserve">, available under the</w:t>
      </w:r>
      <w:r>
        <w:t xml:space="preserve"> </w:t>
      </w:r>
      <w:hyperlink r:id="rId80">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1" w:name="continuous-publication"/>
      <w:r>
        <w:t xml:space="preserve">Continuous publication</w:t>
      </w:r>
      <w:bookmarkEnd w:id="81"/>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2">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3">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4">
        <w:r>
          <w:rPr>
            <w:rStyle w:val="Hyperlink"/>
          </w:rPr>
          <w:t xml:space="preserve">https://github.com/greenelab/meta-review</w:t>
        </w:r>
      </w:hyperlink>
      <w:r>
        <w:t xml:space="preserve">.</w:t>
      </w:r>
      <w:r>
        <w:t xml:space="preserve"> </w:t>
      </w:r>
      <w:r>
        <w:t xml:space="preserve">When this repository changes, Travis CI</w:t>
      </w:r>
      <w:r>
        <w:t xml:space="preserve"> </w:t>
      </w:r>
      <w:hyperlink r:id="rId85">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6">
        <w:r>
          <w:rPr>
            <w:rStyle w:val="VerbatimChar"/>
            <w:rStyle w:val="Hyperlink"/>
          </w:rPr>
          <w:t xml:space="preserve">output</w:t>
        </w:r>
      </w:hyperlink>
      <w:r>
        <w:t xml:space="preserve"> </w:t>
      </w:r>
      <w:r>
        <w:t xml:space="preserve">and</w:t>
      </w:r>
      <w:r>
        <w:t xml:space="preserve"> </w:t>
      </w:r>
      <w:hyperlink r:id="rId87">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8">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89">
        <w:r>
          <w:rPr>
            <w:rStyle w:val="Hyperlink"/>
          </w:rPr>
          <w:t xml:space="preserve">https://greenelab.github.io/meta-review/v/4b6396bcefd1b9c7ddf39c1d3f0b3eab2dd63f31/</w:t>
        </w:r>
      </w:hyperlink>
      <w:r>
        <w:t xml:space="preserve">, provide access to previous manuscript versions.</w:t>
      </w:r>
    </w:p>
    <w:p>
      <w:pPr>
        <w:pStyle w:val="Heading3"/>
      </w:pPr>
      <w:bookmarkStart w:id="90" w:name="timestamping"/>
      <w:r>
        <w:t xml:space="preserve">Timestamping</w:t>
      </w:r>
      <w:bookmarkEnd w:id="90"/>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1">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2" w:name="reproducible-manuscripts"/>
      <w:r>
        <w:t xml:space="preserve">Reproducible manuscripts</w:t>
      </w:r>
      <w:bookmarkEnd w:id="92"/>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3" w:name="getting-started"/>
      <w:r>
        <w:t xml:space="preserve">Getting started</w:t>
      </w:r>
      <w:bookmarkEnd w:id="93"/>
    </w:p>
    <w:p>
      <w:pPr>
        <w:pStyle w:val="FirstParagraph"/>
      </w:pPr>
      <w:r>
        <w:t xml:space="preserve">An example repository at</w:t>
      </w:r>
      <w:r>
        <w:t xml:space="preserve"> </w:t>
      </w:r>
      <w:hyperlink r:id="rId94">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5">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6">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7">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8" w:name="existing-manuscripts"/>
      <w:r>
        <w:t xml:space="preserve">Existing manuscripts</w:t>
      </w:r>
      <w:bookmarkEnd w:id="98"/>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99">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0">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1">
        <w:r>
          <w:rPr>
            <w:rStyle w:val="Hyperlink"/>
          </w:rPr>
          <w:t xml:space="preserve">commit</w:t>
        </w:r>
      </w:hyperlink>
      <w:r>
        <w:t xml:space="preserve">,</w:t>
      </w:r>
      <w:r>
        <w:t xml:space="preserve"> </w:t>
      </w:r>
      <w:hyperlink r:id="rId102">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3">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4">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5">
        <w:r>
          <w:rPr>
            <w:rStyle w:val="Hyperlink"/>
          </w:rPr>
          <w:t xml:space="preserve">regulatory</w:t>
        </w:r>
      </w:hyperlink>
      <w:r>
        <w:t xml:space="preserve"> </w:t>
      </w:r>
      <w:hyperlink r:id="rId106">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7">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8">
        <w:r>
          <w:rPr>
            <w:rStyle w:val="Hyperlink"/>
          </w:rPr>
          <w:t xml:space="preserve">climate science</w:t>
        </w:r>
      </w:hyperlink>
      <w:r>
        <w:t xml:space="preserve">,</w:t>
      </w:r>
      <w:r>
        <w:t xml:space="preserve"> </w:t>
      </w:r>
      <w:hyperlink r:id="rId109">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79">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0">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1">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2">
        <w:r>
          <w:rPr>
            <w:rStyle w:val="Hyperlink"/>
          </w:rPr>
          <w:t xml:space="preserve">research tips</w:t>
        </w:r>
      </w:hyperlink>
      <w:r>
        <w:t xml:space="preserve">,</w:t>
      </w:r>
      <w:r>
        <w:t xml:space="preserve"> </w:t>
      </w:r>
      <w:hyperlink r:id="rId113">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4">
        <w:r>
          <w:rPr>
            <w:rStyle w:val="Hyperlink"/>
          </w:rPr>
          <w:t xml:space="preserve">grant proposals</w:t>
        </w:r>
      </w:hyperlink>
      <w:r>
        <w:t xml:space="preserve">,</w:t>
      </w:r>
      <w:r>
        <w:t xml:space="preserve"> </w:t>
      </w:r>
      <w:hyperlink r:id="rId115">
        <w:r>
          <w:rPr>
            <w:rStyle w:val="Hyperlink"/>
          </w:rPr>
          <w:t xml:space="preserve">progress reports</w:t>
        </w:r>
      </w:hyperlink>
      <w:r>
        <w:t xml:space="preserve">,</w:t>
      </w:r>
      <w:r>
        <w:t xml:space="preserve"> </w:t>
      </w:r>
      <w:hyperlink r:id="rId116">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7">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8">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19">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0" w:name="citation-utilities"/>
      <w:r>
        <w:t xml:space="preserve">Citation utilities</w:t>
      </w:r>
      <w:bookmarkEnd w:id="120"/>
    </w:p>
    <w:p>
      <w:pPr>
        <w:pStyle w:val="FirstParagraph"/>
      </w:pPr>
      <w:r>
        <w:t xml:space="preserve">The</w:t>
      </w:r>
      <w:r>
        <w:t xml:space="preserve"> </w:t>
      </w:r>
      <w:r>
        <w:rPr>
          <w:rStyle w:val="VerbatimChar"/>
        </w:rPr>
        <w:t xml:space="preserve">manubot</w:t>
      </w:r>
      <w:r>
        <w:t xml:space="preserve"> </w:t>
      </w:r>
      <w:hyperlink r:id="rId121">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2">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3">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4" w:name="future"/>
      <w:r>
        <w:t xml:space="preserve">Future enhancements</w:t>
      </w:r>
      <w:bookmarkEnd w:id="124"/>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5">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6">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7" w:name="authorship"/>
      <w:r>
        <w:t xml:space="preserve">Authorship</w:t>
      </w:r>
      <w:bookmarkEnd w:id="127"/>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8">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29">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0" w:name="discussion"/>
      <w:r>
        <w:t xml:space="preserve">Discussion</w:t>
      </w:r>
      <w:bookmarkEnd w:id="130"/>
    </w:p>
    <w:p>
      <w:pPr>
        <w:pStyle w:val="Heading3"/>
      </w:pPr>
      <w:bookmarkStart w:id="131" w:name="collaborative-review-manuscripts"/>
      <w:r>
        <w:t xml:space="preserve">Collaborative review manuscripts</w:t>
      </w:r>
      <w:bookmarkEnd w:id="131"/>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2">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3" w:name="Xf361382fe91980fc285c101efbc7c5bfea28c1e"/>
      <w:r>
        <w:t xml:space="preserve">Additional collaborative writing projects</w:t>
      </w:r>
      <w:bookmarkEnd w:id="133"/>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4">
        <w:r>
          <w:rPr>
            <w:rStyle w:val="Hyperlink"/>
          </w:rPr>
          <w:t xml:space="preserve">Mastering Bitcoin</w:t>
        </w:r>
      </w:hyperlink>
      <w:r>
        <w:t xml:space="preserve"> </w:t>
      </w:r>
      <w:r>
        <w:t xml:space="preserve">and</w:t>
      </w:r>
      <w:r>
        <w:t xml:space="preserve"> </w:t>
      </w:r>
      <w:hyperlink r:id="rId135">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6">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7">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8">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39">
        <w:r>
          <w:rPr>
            <w:rStyle w:val="Hyperlink"/>
          </w:rPr>
          <w:t xml:space="preserve">gh-publisher</w:t>
        </w:r>
      </w:hyperlink>
      <w:r>
        <w:t xml:space="preserve"> </w:t>
      </w:r>
      <w:r>
        <w:t xml:space="preserve">and</w:t>
      </w:r>
      <w:r>
        <w:t xml:space="preserve"> </w:t>
      </w:r>
      <w:hyperlink r:id="rId140">
        <w:r>
          <w:rPr>
            <w:rStyle w:val="Hyperlink"/>
          </w:rPr>
          <w:t xml:space="preserve">jekyll-travis</w:t>
        </w:r>
      </w:hyperlink>
      <w:r>
        <w:t xml:space="preserve">, which was used to produce a</w:t>
      </w:r>
      <w:r>
        <w:t xml:space="preserve"> </w:t>
      </w:r>
      <w:hyperlink r:id="rId141">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2">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3" w:name="limitations"/>
      <w:r>
        <w:t xml:space="preserve">Limitations</w:t>
      </w:r>
      <w:bookmarkEnd w:id="143"/>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4">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5">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6" w:name="manubot-in-the-context-of-open-science"/>
      <w:r>
        <w:t xml:space="preserve">Manubot in the context of open science</w:t>
      </w:r>
      <w:bookmarkEnd w:id="146"/>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7" w:name="code-and-data-availability"/>
      <w:r>
        <w:t xml:space="preserve">Code and data availability</w:t>
      </w:r>
      <w:bookmarkEnd w:id="147"/>
    </w:p>
    <w:p>
      <w:pPr>
        <w:pStyle w:val="FirstParagraph"/>
      </w:pPr>
      <w:r>
        <w:t xml:space="preserve">The source code and data for this manuscript are available at</w:t>
      </w:r>
      <w:r>
        <w:t xml:space="preserve"> </w:t>
      </w:r>
      <w:hyperlink r:id="rId84">
        <w:r>
          <w:rPr>
            <w:rStyle w:val="Hyperlink"/>
          </w:rPr>
          <w:t xml:space="preserve">https://github.com/greenelab/meta-review</w:t>
        </w:r>
      </w:hyperlink>
      <w:r>
        <w:t xml:space="preserve"> </w:t>
      </w:r>
      <w:r>
        <w:t xml:space="preserve">and archived via Software Heritage identifier</w:t>
      </w:r>
      <w:r>
        <w:t xml:space="preserve"> </w:t>
      </w:r>
      <w:hyperlink r:id="rId148">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48">
        <w:r>
          <w:rPr>
            <w:rStyle w:val="Hyperlink"/>
          </w:rPr>
          <w:t xml:space="preserve">https://github.com/manubot/manubot</w:t>
        </w:r>
      </w:hyperlink>
      <w:r>
        <w:t xml:space="preserve"> </w:t>
      </w:r>
      <w:r>
        <w:t xml:space="preserve">(</w:t>
      </w:r>
      <w:hyperlink r:id="rId149">
        <w:r>
          <w:rPr>
            <w:rStyle w:val="Hyperlink"/>
          </w:rPr>
          <w:t xml:space="preserve">GitLab mirror</w:t>
        </w:r>
      </w:hyperlink>
      <w:r>
        <w:t xml:space="preserve">, archived at</w:t>
      </w:r>
      <w:r>
        <w:t xml:space="preserve"> </w:t>
      </w:r>
      <w:hyperlink r:id="rId150">
        <w:r>
          <w:rPr>
            <w:rStyle w:val="VerbatimChar"/>
            <w:rStyle w:val="Hyperlink"/>
          </w:rPr>
          <w:t xml:space="preserve">swh:1:dir:506058af283d6d311a92d03b02adb9dca9f139de</w:t>
        </w:r>
      </w:hyperlink>
      <w:r>
        <w:t xml:space="preserve">, packaged on</w:t>
      </w:r>
      <w:r>
        <w:t xml:space="preserve"> </w:t>
      </w:r>
      <w:hyperlink r:id="rId121">
        <w:r>
          <w:rPr>
            <w:rStyle w:val="Hyperlink"/>
          </w:rPr>
          <w:t xml:space="preserve">PyPI</w:t>
        </w:r>
      </w:hyperlink>
      <w:r>
        <w:t xml:space="preserve">)</w:t>
      </w:r>
    </w:p>
    <w:p>
      <w:pPr>
        <w:pStyle w:val="Compact"/>
        <w:numPr>
          <w:numId w:val="1002"/>
          <w:ilvl w:val="0"/>
        </w:numPr>
      </w:pPr>
      <w:hyperlink r:id="rId94">
        <w:r>
          <w:rPr>
            <w:rStyle w:val="Hyperlink"/>
          </w:rPr>
          <w:t xml:space="preserve">https://github.com/manubot/rootstock</w:t>
        </w:r>
      </w:hyperlink>
      <w:r>
        <w:t xml:space="preserve"> </w:t>
      </w:r>
      <w:r>
        <w:t xml:space="preserve">(</w:t>
      </w:r>
      <w:hyperlink r:id="rId151">
        <w:r>
          <w:rPr>
            <w:rStyle w:val="Hyperlink"/>
          </w:rPr>
          <w:t xml:space="preserve">GitLab mirror</w:t>
        </w:r>
      </w:hyperlink>
      <w:r>
        <w:t xml:space="preserve">, archived at</w:t>
      </w:r>
      <w:r>
        <w:t xml:space="preserve"> </w:t>
      </w:r>
      <w:hyperlink r:id="rId152">
        <w:r>
          <w:rPr>
            <w:rStyle w:val="VerbatimChar"/>
            <w:rStyle w:val="Hyperlink"/>
          </w:rPr>
          <w:t xml:space="preserve">swh:1:dir:4e689f4e2f4b272b8672142f4c81abd3e77392f9</w:t>
        </w:r>
      </w:hyperlink>
      <w:r>
        <w:t xml:space="preserve">).</w:t>
      </w:r>
    </w:p>
    <w:p>
      <w:pPr>
        <w:pStyle w:val="Heading2"/>
      </w:pPr>
      <w:bookmarkStart w:id="153" w:name="supporting-information"/>
      <w:r>
        <w:t xml:space="preserve">Supporting Information</w:t>
      </w:r>
      <w:bookmarkEnd w:id="153"/>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4">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5" w:name="acknowledgments"/>
      <w:r>
        <w:t xml:space="preserve">Acknowledgments</w:t>
      </w:r>
      <w:bookmarkEnd w:id="155"/>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6" w:name="references"/>
      <w:r>
        <w:t xml:space="preserve">References</w:t>
      </w:r>
      <w:bookmarkEnd w:id="156"/>
    </w:p>
    <w:bookmarkStart w:id="349" w:name="refs"/>
    <w:bookmarkStart w:id="158" w:name="ref-1DiVJ3t6P"/>
    <w:p>
      <w:pPr>
        <w:pStyle w:val="Bibliography"/>
      </w:pPr>
      <w:r>
        <w:t xml:space="preserve">1. Nielsen M. Reinventing Discovery [Internet]. Princeton, NJ: Princeton University Press; 2011. doi:</w:t>
      </w:r>
      <w:hyperlink r:id="rId157">
        <w:r>
          <w:rPr>
            <w:rStyle w:val="Hyperlink"/>
          </w:rPr>
          <w:t xml:space="preserve">10.1515/9781400839452</w:t>
        </w:r>
      </w:hyperlink>
    </w:p>
    <w:bookmarkEnd w:id="158"/>
    <w:bookmarkStart w:id="160" w:name="ref-IWBJQIkl"/>
    <w:p>
      <w:pPr>
        <w:pStyle w:val="Bibliography"/>
      </w:pPr>
      <w:r>
        <w:t xml:space="preserve">2. National Academies of Sciences, Engineering, and Medicine. Open Science by Design: Realizing a Vision for 21st Century Research [Internet]. National Academies Press; 2018. doi:</w:t>
      </w:r>
      <w:hyperlink r:id="rId159">
        <w:r>
          <w:rPr>
            <w:rStyle w:val="Hyperlink"/>
          </w:rPr>
          <w:t xml:space="preserve">10.17226/25116</w:t>
        </w:r>
      </w:hyperlink>
    </w:p>
    <w:bookmarkEnd w:id="160"/>
    <w:bookmarkStart w:id="162" w:name="ref-16CgM2x0z"/>
    <w:p>
      <w:pPr>
        <w:pStyle w:val="Bibliography"/>
      </w:pPr>
      <w:r>
        <w:t xml:space="preserve">3. Perkel J. TechBlog: “Manubot” powers a crowdsourced “deep-learning” review. In: Naturejobs [Internet]. 20 Feb 2018. Available:</w:t>
      </w:r>
      <w:r>
        <w:t xml:space="preserve"> </w:t>
      </w:r>
      <w:hyperlink r:id="rId161">
        <w:r>
          <w:rPr>
            <w:rStyle w:val="Hyperlink"/>
          </w:rPr>
          <w:t xml:space="preserve">http://blogs.nature.com/naturejobs/2018/02/20/techblog-manubot-powers-a-crowdsourced-deep-learning-review/</w:t>
        </w:r>
      </w:hyperlink>
    </w:p>
    <w:bookmarkEnd w:id="162"/>
    <w:bookmarkStart w:id="164" w:name="ref-12sHvZy1a"/>
    <w:p>
      <w:pPr>
        <w:pStyle w:val="Bibliography"/>
      </w:pPr>
      <w:r>
        <w:t xml:space="preserve">4. Khare R, Good BM, Leaman R, Su AI, Lu Z. Crowdsourcing in biomedicine: challenges and opportunities. Brief Bioinform. Oxford University Press; 2016;17: 23–32. doi:</w:t>
      </w:r>
      <w:hyperlink r:id="rId163">
        <w:r>
          <w:rPr>
            <w:rStyle w:val="Hyperlink"/>
          </w:rPr>
          <w:t xml:space="preserve">10.1093/bib/bbv021</w:t>
        </w:r>
      </w:hyperlink>
    </w:p>
    <w:bookmarkEnd w:id="164"/>
    <w:bookmarkStart w:id="166"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5">
        <w:r>
          <w:rPr>
            <w:rStyle w:val="Hyperlink"/>
          </w:rPr>
          <w:t xml:space="preserve">10.1098/rsif.2017.0387</w:t>
        </w:r>
      </w:hyperlink>
    </w:p>
    <w:bookmarkEnd w:id="166"/>
    <w:bookmarkStart w:id="168" w:name="ref-AylLD9F8"/>
    <w:p>
      <w:pPr>
        <w:pStyle w:val="Bibliography"/>
      </w:pPr>
      <w:r>
        <w:t xml:space="preserve">6. Perkel JM. Scientific writing: the online cooperative. Nature. Springer Nature; 2014;514: 127–128. doi:</w:t>
      </w:r>
      <w:hyperlink r:id="rId167">
        <w:r>
          <w:rPr>
            <w:rStyle w:val="Hyperlink"/>
          </w:rPr>
          <w:t xml:space="preserve">10.1038/514127a</w:t>
        </w:r>
      </w:hyperlink>
    </w:p>
    <w:bookmarkEnd w:id="168"/>
    <w:bookmarkStart w:id="170"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69">
        <w:r>
          <w:rPr>
            <w:rStyle w:val="Hyperlink"/>
          </w:rPr>
          <w:t xml:space="preserve">10.1371/journal.pcbi.1004668</w:t>
        </w:r>
      </w:hyperlink>
    </w:p>
    <w:bookmarkEnd w:id="170"/>
    <w:bookmarkStart w:id="172"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71">
        <w:r>
          <w:rPr>
            <w:rStyle w:val="Hyperlink"/>
          </w:rPr>
          <w:t xml:space="preserve">10.1371/journal.pcbi.1004947</w:t>
        </w:r>
      </w:hyperlink>
    </w:p>
    <w:bookmarkEnd w:id="172"/>
    <w:bookmarkStart w:id="174"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3">
        <w:r>
          <w:rPr>
            <w:rStyle w:val="Hyperlink"/>
          </w:rPr>
          <w:t xml:space="preserve">https://towardsdatascience.com/opportunities-and-obstacles-for-deep-learning-in-biology-and-medicine-6ec914fe18c2</w:t>
        </w:r>
      </w:hyperlink>
    </w:p>
    <w:bookmarkEnd w:id="174"/>
    <w:bookmarkStart w:id="176"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5">
        <w:r>
          <w:rPr>
            <w:rStyle w:val="Hyperlink"/>
          </w:rPr>
          <w:t xml:space="preserve">10.1101/142760</w:t>
        </w:r>
      </w:hyperlink>
    </w:p>
    <w:bookmarkEnd w:id="176"/>
    <w:bookmarkStart w:id="178"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7">
        <w:r>
          <w:rPr>
            <w:rStyle w:val="Hyperlink"/>
          </w:rPr>
          <w:t xml:space="preserve">10.25080/majora-4af1f417-011</w:t>
        </w:r>
      </w:hyperlink>
    </w:p>
    <w:bookmarkEnd w:id="178"/>
    <w:bookmarkStart w:id="180"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79">
        <w:r>
          <w:rPr>
            <w:rStyle w:val="Hyperlink"/>
          </w:rPr>
          <w:t xml:space="preserve">10.7717/peerj-cs.112</w:t>
        </w:r>
      </w:hyperlink>
    </w:p>
    <w:bookmarkEnd w:id="180"/>
    <w:bookmarkStart w:id="182" w:name="ref-9KfVIq3s"/>
    <w:p>
      <w:pPr>
        <w:pStyle w:val="Bibliography"/>
      </w:pPr>
      <w:r>
        <w:t xml:space="preserve">13. Fenner M, Scheliga K, Bartling S. Reference Management. Opening Science. Springer International Publishing; 2013. pp. 125–137. doi:</w:t>
      </w:r>
      <w:hyperlink r:id="rId181">
        <w:r>
          <w:rPr>
            <w:rStyle w:val="Hyperlink"/>
          </w:rPr>
          <w:t xml:space="preserve">10.1007/978-3-319-00026-8_8</w:t>
        </w:r>
      </w:hyperlink>
    </w:p>
    <w:bookmarkEnd w:id="182"/>
    <w:bookmarkStart w:id="184" w:name="ref-K7WVgf8X"/>
    <w:p>
      <w:pPr>
        <w:pStyle w:val="Bibliography"/>
      </w:pPr>
      <w:r>
        <w:t xml:space="preserve">14. Zhang Y. Comparison of Select Reference Management Tools. Medical Reference Services Quarterly. Informa UK Limited; 2012;31: 45–60. doi:</w:t>
      </w:r>
      <w:hyperlink r:id="rId183">
        <w:r>
          <w:rPr>
            <w:rStyle w:val="Hyperlink"/>
          </w:rPr>
          <w:t xml:space="preserve">10.1080/02763869.2012.641841</w:t>
        </w:r>
      </w:hyperlink>
    </w:p>
    <w:bookmarkEnd w:id="184"/>
    <w:bookmarkStart w:id="186"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5">
        <w:r>
          <w:rPr>
            <w:rStyle w:val="Hyperlink"/>
          </w:rPr>
          <w:t xml:space="preserve">https://arxiv.org/abs/1304.7151v1</w:t>
        </w:r>
      </w:hyperlink>
    </w:p>
    <w:bookmarkEnd w:id="186"/>
    <w:bookmarkStart w:id="188" w:name="ref-LfJGtB83"/>
    <w:p>
      <w:pPr>
        <w:pStyle w:val="Bibliography"/>
      </w:pPr>
      <w:r>
        <w:t xml:space="preserve">16. Knoepfler P. Reviewing post-publication peer review. Trends Genet. 2015;31: 221–3. doi:</w:t>
      </w:r>
      <w:hyperlink r:id="rId187">
        <w:r>
          <w:rPr>
            <w:rStyle w:val="Hyperlink"/>
          </w:rPr>
          <w:t xml:space="preserve">10.1016/j.tig.2015.03.006</w:t>
        </w:r>
      </w:hyperlink>
    </w:p>
    <w:bookmarkEnd w:id="188"/>
    <w:bookmarkStart w:id="190"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89">
        <w:r>
          <w:rPr>
            <w:rStyle w:val="Hyperlink"/>
          </w:rPr>
          <w:t xml:space="preserve">https://arxiv.org/abs/1502.04015v1</w:t>
        </w:r>
      </w:hyperlink>
    </w:p>
    <w:bookmarkEnd w:id="190"/>
    <w:bookmarkStart w:id="191" w:name="ref-zBPP9YKu"/>
    <w:p>
      <w:pPr>
        <w:pStyle w:val="Bibliography"/>
      </w:pPr>
      <w:r>
        <w:t xml:space="preserve">18. Suber P. Open access. Cambridge, Mass: MIT Press; 2012.</w:t>
      </w:r>
      <w:r>
        <w:t xml:space="preserve"> </w:t>
      </w:r>
    </w:p>
    <w:bookmarkEnd w:id="191"/>
    <w:bookmarkStart w:id="193" w:name="ref-zBl3qgGT"/>
    <w:p>
      <w:pPr>
        <w:pStyle w:val="Bibliography"/>
      </w:pPr>
      <w:r>
        <w:t xml:space="preserve">19. Gatto L. Open science and open science [Internet]. 5 Jun 2017. Available:</w:t>
      </w:r>
      <w:r>
        <w:t xml:space="preserve"> </w:t>
      </w:r>
      <w:hyperlink r:id="rId192">
        <w:r>
          <w:rPr>
            <w:rStyle w:val="Hyperlink"/>
          </w:rPr>
          <w:t xml:space="preserve">https://lgatto.github.io/open-and-open/</w:t>
        </w:r>
      </w:hyperlink>
    </w:p>
    <w:bookmarkEnd w:id="193"/>
    <w:bookmarkStart w:id="195" w:name="ref-QhC8yJ7V"/>
    <w:p>
      <w:pPr>
        <w:pStyle w:val="Bibliography"/>
      </w:pPr>
      <w:r>
        <w:t xml:space="preserve">20. S c. Plan S: Accelerating the transition to full and immediate Open Access to scientific publications [Internet]. 2018. Available:</w:t>
      </w:r>
      <w:r>
        <w:t xml:space="preserve"> </w:t>
      </w:r>
      <w:hyperlink r:id="rId194">
        <w:r>
          <w:rPr>
            <w:rStyle w:val="Hyperlink"/>
          </w:rPr>
          <w:t xml:space="preserve">https://www.wikidata.org/wiki/Q56458321</w:t>
        </w:r>
      </w:hyperlink>
    </w:p>
    <w:bookmarkEnd w:id="195"/>
    <w:bookmarkStart w:id="197" w:name="ref-J6sGnQp1"/>
    <w:p>
      <w:pPr>
        <w:pStyle w:val="Bibliography"/>
      </w:pPr>
      <w:r>
        <w:t xml:space="preserve">21. Paywall: The Business of Scholarship [Internet]. 2018. Available:</w:t>
      </w:r>
      <w:r>
        <w:t xml:space="preserve"> </w:t>
      </w:r>
      <w:hyperlink r:id="rId196">
        <w:r>
          <w:rPr>
            <w:rStyle w:val="Hyperlink"/>
          </w:rPr>
          <w:t xml:space="preserve">https://paywallthemovie.com/paywall</w:t>
        </w:r>
      </w:hyperlink>
    </w:p>
    <w:bookmarkEnd w:id="197"/>
    <w:bookmarkStart w:id="199" w:name="ref-pqBLIXzp"/>
    <w:p>
      <w:pPr>
        <w:pStyle w:val="Bibliography"/>
      </w:pPr>
      <w:r>
        <w:t xml:space="preserve">22. Avasthi P, Soragni A, Bembenek JN. Journal clubs in the time of preprints. eLife. eLife Sciences Publications, Ltd; 2018;7. doi:</w:t>
      </w:r>
      <w:hyperlink r:id="rId198">
        <w:r>
          <w:rPr>
            <w:rStyle w:val="Hyperlink"/>
          </w:rPr>
          <w:t xml:space="preserve">10.7554/elife.38532</w:t>
        </w:r>
      </w:hyperlink>
    </w:p>
    <w:bookmarkEnd w:id="199"/>
    <w:bookmarkStart w:id="201" w:name="ref-aAKJEII"/>
    <w:p>
      <w:pPr>
        <w:pStyle w:val="Bibliography"/>
      </w:pPr>
      <w:r>
        <w:t xml:space="preserve">23. Himmelstein D. On author versus numeric citation styles. Satoshi Village. 2018; Available:</w:t>
      </w:r>
      <w:r>
        <w:t xml:space="preserve"> </w:t>
      </w:r>
      <w:hyperlink r:id="rId200">
        <w:r>
          <w:rPr>
            <w:rStyle w:val="Hyperlink"/>
          </w:rPr>
          <w:t xml:space="preserve">https://blog.dhimmel.com/citation-styles/</w:t>
        </w:r>
      </w:hyperlink>
    </w:p>
    <w:bookmarkEnd w:id="201"/>
    <w:bookmarkStart w:id="203" w:name="ref-w4n6Qtun"/>
    <w:p>
      <w:pPr>
        <w:pStyle w:val="Bibliography"/>
      </w:pPr>
      <w:r>
        <w:t xml:space="preserve">24. Perkel J. TechBlog: Create the perfect bibliography with the CSL Editor. In: Naturejobs [Internet]. 3 May 2017. Available:</w:t>
      </w:r>
      <w:r>
        <w:t xml:space="preserve"> </w:t>
      </w:r>
      <w:hyperlink r:id="rId202">
        <w:r>
          <w:rPr>
            <w:rStyle w:val="Hyperlink"/>
          </w:rPr>
          <w:t xml:space="preserve">http://blogs.nature.com/naturejobs/2017/05/03/techblog-create-the-perfect-bibliography-with-the-csl-editor/</w:t>
        </w:r>
      </w:hyperlink>
    </w:p>
    <w:bookmarkEnd w:id="203"/>
    <w:bookmarkStart w:id="205" w:name="ref-LHrRxRb0"/>
    <w:p>
      <w:pPr>
        <w:pStyle w:val="Bibliography"/>
      </w:pPr>
      <w:r>
        <w:t xml:space="preserve">25. National Information Standards Organization. ANSI/NISO Z39.96-2019, JATS: Journal Article Tag Suite, version 1.2 [Internet]. NISO; 2019 Feb. Available:</w:t>
      </w:r>
      <w:r>
        <w:t xml:space="preserve"> </w:t>
      </w:r>
      <w:hyperlink r:id="rId204">
        <w:r>
          <w:rPr>
            <w:rStyle w:val="Hyperlink"/>
          </w:rPr>
          <w:t xml:space="preserve">https://www.niso.org/publications/z3996-2019-jats</w:t>
        </w:r>
      </w:hyperlink>
    </w:p>
    <w:bookmarkEnd w:id="205"/>
    <w:bookmarkStart w:id="207"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6">
        <w:r>
          <w:rPr>
            <w:rStyle w:val="Hyperlink"/>
          </w:rPr>
          <w:t xml:space="preserve">10.6087/kcse.2014.1.99</w:t>
        </w:r>
      </w:hyperlink>
    </w:p>
    <w:bookmarkEnd w:id="207"/>
    <w:bookmarkStart w:id="209" w:name="ref-bCyfIm6z"/>
    <w:p>
      <w:pPr>
        <w:pStyle w:val="Bibliography"/>
      </w:pPr>
      <w:r>
        <w:t xml:space="preserve">27. Needleman MH. NISO Z39.96-201x, JATS: Journal Article Tag Suite. Serials Review. Informa UK Limited; 2012;38: 213–214. doi:</w:t>
      </w:r>
      <w:hyperlink r:id="rId208">
        <w:r>
          <w:rPr>
            <w:rStyle w:val="Hyperlink"/>
          </w:rPr>
          <w:t xml:space="preserve">10.1080/00987913.2012.10765464</w:t>
        </w:r>
      </w:hyperlink>
    </w:p>
    <w:bookmarkEnd w:id="209"/>
    <w:bookmarkStart w:id="211" w:name="ref-6eVHYGML"/>
    <w:p>
      <w:pPr>
        <w:pStyle w:val="Bibliography"/>
      </w:pPr>
      <w:r>
        <w:t xml:space="preserve">28. Perkel JM. Data visualization tools drive interactivity and reproducibility in online publishing. Nature. Springer Nature; 2018;554: 133–134. doi:</w:t>
      </w:r>
      <w:hyperlink r:id="rId210">
        <w:r>
          <w:rPr>
            <w:rStyle w:val="Hyperlink"/>
          </w:rPr>
          <w:t xml:space="preserve">10.1038/d41586-018-01322-9</w:t>
        </w:r>
      </w:hyperlink>
    </w:p>
    <w:bookmarkEnd w:id="211"/>
    <w:bookmarkStart w:id="213"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12">
        <w:r>
          <w:rPr>
            <w:rStyle w:val="Hyperlink"/>
          </w:rPr>
          <w:t xml:space="preserve">10.1109/tvcg.2016.2599030</w:t>
        </w:r>
      </w:hyperlink>
    </w:p>
    <w:bookmarkEnd w:id="213"/>
    <w:bookmarkStart w:id="215" w:name="ref-18w6XKsQO"/>
    <w:p>
      <w:pPr>
        <w:pStyle w:val="Bibliography"/>
      </w:pPr>
      <w:r>
        <w:t xml:space="preserve">30. Silver A. Collaborative software development made easy. Nature. Springer Nature; 2017;550: 143–144. doi:</w:t>
      </w:r>
      <w:hyperlink r:id="rId214">
        <w:r>
          <w:rPr>
            <w:rStyle w:val="Hyperlink"/>
          </w:rPr>
          <w:t xml:space="preserve">10.1038/550143a</w:t>
        </w:r>
      </w:hyperlink>
    </w:p>
    <w:bookmarkEnd w:id="215"/>
    <w:bookmarkStart w:id="217" w:name="ref-Qh7xTLwz"/>
    <w:p>
      <w:pPr>
        <w:pStyle w:val="Bibliography"/>
      </w:pPr>
      <w:r>
        <w:t xml:space="preserve">31. Beaulieu-Jones BK, Greene CS. Reproducibility of computational workflows is automated using continuous analysis. Nat Biotechnol. Springer Nature; 2017;35: 342–346. doi:</w:t>
      </w:r>
      <w:hyperlink r:id="rId216">
        <w:r>
          <w:rPr>
            <w:rStyle w:val="Hyperlink"/>
          </w:rPr>
          <w:t xml:space="preserve">10.1038/nbt.3780</w:t>
        </w:r>
      </w:hyperlink>
    </w:p>
    <w:bookmarkEnd w:id="217"/>
    <w:bookmarkStart w:id="219" w:name="ref-lXvpQxeN"/>
    <w:p>
      <w:pPr>
        <w:pStyle w:val="Bibliography"/>
      </w:pPr>
      <w:r>
        <w:t xml:space="preserve">32. Yenni GM, Christensen EM, Bledsoe EK, Supp SR, Diaz RM, White EP, et al. Developing a modern data workflow for evolving data [Internet]. bioRxiv. Cold Spring Harbor Laboratory; 2018. doi:</w:t>
      </w:r>
      <w:hyperlink r:id="rId218">
        <w:r>
          <w:rPr>
            <w:rStyle w:val="Hyperlink"/>
          </w:rPr>
          <w:t xml:space="preserve">10.1101/344804</w:t>
        </w:r>
      </w:hyperlink>
    </w:p>
    <w:bookmarkEnd w:id="219"/>
    <w:bookmarkStart w:id="221" w:name="ref-vHuGhm4k"/>
    <w:p>
      <w:pPr>
        <w:pStyle w:val="Bibliography"/>
      </w:pPr>
      <w:r>
        <w:t xml:space="preserve">33. Vale RD, Hyman AA. Priority of discovery in the life sciences. eLife. eLife Sciences Publications, Ltd; 2016;5. doi:</w:t>
      </w:r>
      <w:hyperlink r:id="rId220">
        <w:r>
          <w:rPr>
            <w:rStyle w:val="Hyperlink"/>
          </w:rPr>
          <w:t xml:space="preserve">10.7554/elife.16931</w:t>
        </w:r>
      </w:hyperlink>
    </w:p>
    <w:bookmarkEnd w:id="221"/>
    <w:bookmarkStart w:id="223"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2">
        <w:r>
          <w:rPr>
            <w:rStyle w:val="Hyperlink"/>
          </w:rPr>
          <w:t xml:space="preserve">https://www.bgcarlisle.com/blog/2014/08/25/proof-of-prespecified-endpoints-in-medical-research-with-the-bitcoin-blockchain/</w:t>
        </w:r>
      </w:hyperlink>
    </w:p>
    <w:bookmarkEnd w:id="223"/>
    <w:bookmarkStart w:id="225" w:name="ref-QBWMEuxW"/>
    <w:p>
      <w:pPr>
        <w:pStyle w:val="Bibliography"/>
      </w:pPr>
      <w:r>
        <w:t xml:space="preserve">35. Himmelstein D. The most interesting case of scientific irreproducibility? Satoshi Village. 2017; Available:</w:t>
      </w:r>
      <w:r>
        <w:t xml:space="preserve"> </w:t>
      </w:r>
      <w:hyperlink r:id="rId224">
        <w:r>
          <w:rPr>
            <w:rStyle w:val="Hyperlink"/>
          </w:rPr>
          <w:t xml:space="preserve">https://blog.dhimmel.com/irreproducible-timestamps/</w:t>
        </w:r>
      </w:hyperlink>
    </w:p>
    <w:bookmarkEnd w:id="225"/>
    <w:bookmarkStart w:id="227" w:name="ref-qh60RjR0"/>
    <w:p>
      <w:pPr>
        <w:pStyle w:val="Bibliography"/>
      </w:pPr>
      <w:r>
        <w:t xml:space="preserve">36. Heaven D. Bitcoin for the biological literature. Nature. Springer Nature; 2019;566: 141–142. doi:</w:t>
      </w:r>
      <w:hyperlink r:id="rId226">
        <w:r>
          <w:rPr>
            <w:rStyle w:val="Hyperlink"/>
          </w:rPr>
          <w:t xml:space="preserve">10.1038/d41586-019-00447-9</w:t>
        </w:r>
      </w:hyperlink>
    </w:p>
    <w:bookmarkEnd w:id="227"/>
    <w:bookmarkStart w:id="228" w:name="ref-6yyYojgV"/>
    <w:p>
      <w:pPr>
        <w:pStyle w:val="Bibliography"/>
      </w:pPr>
      <w:r>
        <w:t xml:space="preserve">37. Nakamoto S. Bitcoin: A Peer-to-Peer Electronic Cash System [Internet]. 21 Mar 2019 [cited 11 Jun 2019]. Available:</w:t>
      </w:r>
      <w:r>
        <w:t xml:space="preserve"> </w:t>
      </w:r>
      <w:hyperlink r:id="rId118">
        <w:r>
          <w:rPr>
            <w:rStyle w:val="Hyperlink"/>
          </w:rPr>
          <w:t xml:space="preserve">https://git.dhimmel.com/bitcoin-whitepaper/</w:t>
        </w:r>
      </w:hyperlink>
    </w:p>
    <w:bookmarkEnd w:id="228"/>
    <w:bookmarkStart w:id="230"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29">
        <w:r>
          <w:rPr>
            <w:rStyle w:val="Hyperlink"/>
          </w:rPr>
          <w:t xml:space="preserve">https://petertodd.org/2016/opentimestamps-announcement</w:t>
        </w:r>
      </w:hyperlink>
    </w:p>
    <w:bookmarkEnd w:id="230"/>
    <w:bookmarkStart w:id="232"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1">
        <w:r>
          <w:rPr>
            <w:rStyle w:val="Hyperlink"/>
          </w:rPr>
          <w:t xml:space="preserve">https://elifesciences.org/for-the-press/e6038800/elife-supports-development-of-open-technology-stack-for-publishing-reproducible-manuscripts-online</w:t>
        </w:r>
      </w:hyperlink>
    </w:p>
    <w:bookmarkEnd w:id="232"/>
    <w:bookmarkStart w:id="234"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3">
        <w:r>
          <w:rPr>
            <w:rStyle w:val="Hyperlink"/>
          </w:rPr>
          <w:t xml:space="preserve">10.7554/elife.32822</w:t>
        </w:r>
      </w:hyperlink>
    </w:p>
    <w:bookmarkEnd w:id="234"/>
    <w:bookmarkStart w:id="236" w:name="ref-9IrsqXRa"/>
    <w:p>
      <w:pPr>
        <w:pStyle w:val="Bibliography"/>
      </w:pPr>
      <w:r>
        <w:t xml:space="preserve">41. Callaway E, Castelvecchi D, Cyranoski D, Gibney E, Ledford H, Lee JJ, et al. 2017 in news: The science events that shaped the year. Nature. Springer Nature; 2017;552: 304–307. doi:</w:t>
      </w:r>
      <w:hyperlink r:id="rId235">
        <w:r>
          <w:rPr>
            <w:rStyle w:val="Hyperlink"/>
          </w:rPr>
          <w:t xml:space="preserve">10.1038/d41586-017-08493-x</w:t>
        </w:r>
      </w:hyperlink>
    </w:p>
    <w:bookmarkEnd w:id="236"/>
    <w:bookmarkStart w:id="238" w:name="ref-LGjXBQ7t"/>
    <w:p>
      <w:pPr>
        <w:pStyle w:val="Bibliography"/>
      </w:pPr>
      <w:r>
        <w:t xml:space="preserve">42. Bruse N, van Heeringen SJ. GimmeMotifs: an analysis framework for transcription factor motif analysis [Internet]. bioRxiv. Cold Spring Harbor Laboratory; 2018. doi:</w:t>
      </w:r>
      <w:hyperlink r:id="rId237">
        <w:r>
          <w:rPr>
            <w:rStyle w:val="Hyperlink"/>
          </w:rPr>
          <w:t xml:space="preserve">10.1101/474403</w:t>
        </w:r>
      </w:hyperlink>
    </w:p>
    <w:bookmarkEnd w:id="238"/>
    <w:bookmarkStart w:id="240" w:name="ref-15QSXk9Cl"/>
    <w:p>
      <w:pPr>
        <w:pStyle w:val="Bibliography"/>
      </w:pPr>
      <w:r>
        <w:t xml:space="preserve">43. Silva JPN, Lopes SV, Grilo DJ, Hensel Z. Plasmids for Independently Tunable, Low-Noise Expression of Two Genes. Ellermeier CD, editor. mSphere. American Society for Microbiology; 2019;4. doi:</w:t>
      </w:r>
      <w:hyperlink r:id="rId239">
        <w:r>
          <w:rPr>
            <w:rStyle w:val="Hyperlink"/>
          </w:rPr>
          <w:t xml:space="preserve">10.1128/msphere.00340-19</w:t>
        </w:r>
      </w:hyperlink>
    </w:p>
    <w:bookmarkEnd w:id="240"/>
    <w:bookmarkStart w:id="242"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1">
        <w:r>
          <w:rPr>
            <w:rStyle w:val="Hyperlink"/>
          </w:rPr>
          <w:t xml:space="preserve">https://theconversation.com/illusions-et-hallucinations-visuelles-une-porte-sur-la-perception-117389</w:t>
        </w:r>
      </w:hyperlink>
    </w:p>
    <w:bookmarkEnd w:id="242"/>
    <w:bookmarkStart w:id="244" w:name="ref-17a3WKGzu"/>
    <w:p>
      <w:pPr>
        <w:pStyle w:val="Bibliography"/>
      </w:pPr>
      <w:r>
        <w:t xml:space="preserve">45. Le TT, Fu W, Moore JH. Scaling tree-based automated machine learning to biomedical big data with a feature set selector. Kelso J, editor. Bioinformatics. Oxford University Press (OUP); 2019; doi:</w:t>
      </w:r>
      <w:hyperlink r:id="rId243">
        <w:r>
          <w:rPr>
            <w:rStyle w:val="Hyperlink"/>
          </w:rPr>
          <w:t xml:space="preserve">10.1093/bioinformatics/btz470</w:t>
        </w:r>
      </w:hyperlink>
    </w:p>
    <w:bookmarkEnd w:id="244"/>
    <w:bookmarkStart w:id="246"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5">
        <w:r>
          <w:rPr>
            <w:rStyle w:val="Hyperlink"/>
          </w:rPr>
          <w:t xml:space="preserve">10.1101/654566</w:t>
        </w:r>
      </w:hyperlink>
    </w:p>
    <w:bookmarkEnd w:id="246"/>
    <w:bookmarkStart w:id="248"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7">
        <w:r>
          <w:rPr>
            <w:rStyle w:val="Hyperlink"/>
          </w:rPr>
          <w:t xml:space="preserve">https://digital.csic.es/handle/10261/160086</w:t>
        </w:r>
      </w:hyperlink>
    </w:p>
    <w:bookmarkEnd w:id="248"/>
    <w:bookmarkStart w:id="250" w:name="ref-15nwuvjrA"/>
    <w:p>
      <w:pPr>
        <w:pStyle w:val="Bibliography"/>
      </w:pPr>
      <w:r>
        <w:t xml:space="preserve">48. Zietz M. Vagelos Report Summer 2017. Figshare; 2017; doi:</w:t>
      </w:r>
      <w:hyperlink r:id="rId249">
        <w:r>
          <w:rPr>
            <w:rStyle w:val="Hyperlink"/>
          </w:rPr>
          <w:t xml:space="preserve">10.6084/m9.figshare77</w:t>
        </w:r>
      </w:hyperlink>
    </w:p>
    <w:bookmarkEnd w:id="250"/>
    <w:bookmarkStart w:id="252" w:name="ref-u9DGTIX"/>
    <w:p>
      <w:pPr>
        <w:pStyle w:val="Bibliography"/>
      </w:pPr>
      <w:r>
        <w:t xml:space="preserve">49. Himmelstein D. How I used the Manubot to reproduce the Bitcoin Whitepaper. In: Steem [Internet]. 20 Sep 2017. Available:</w:t>
      </w:r>
      <w:r>
        <w:t xml:space="preserve"> </w:t>
      </w:r>
      <w:hyperlink r:id="rId251">
        <w:r>
          <w:rPr>
            <w:rStyle w:val="Hyperlink"/>
          </w:rPr>
          <w:t xml:space="preserve">https://busy.org/@dhimmel/how-i-used-the-manubot-to-reproduce-the-bitcoin-whitepaper</w:t>
        </w:r>
      </w:hyperlink>
    </w:p>
    <w:bookmarkEnd w:id="252"/>
    <w:bookmarkStart w:id="254" w:name="ref-O21tn8vf"/>
    <w:p>
      <w:pPr>
        <w:pStyle w:val="Bibliography"/>
      </w:pPr>
      <w:r>
        <w:t xml:space="preserve">50. Himmelstein DS, Lizee A, Hessler C, Brueggeman L, Chen SL, Hadley D, et al. Systematic integration of biomedical knowledge prioritizes drugs for repurposing. eLife. eLife Sciences Publications, Ltd; 2017;6. doi:</w:t>
      </w:r>
      <w:hyperlink r:id="rId253">
        <w:r>
          <w:rPr>
            <w:rStyle w:val="Hyperlink"/>
          </w:rPr>
          <w:t xml:space="preserve">10.7554/elife.26726</w:t>
        </w:r>
      </w:hyperlink>
    </w:p>
    <w:bookmarkEnd w:id="254"/>
    <w:bookmarkStart w:id="256" w:name="ref-tQy0rfF4"/>
    <w:p>
      <w:pPr>
        <w:pStyle w:val="Bibliography"/>
      </w:pPr>
      <w:r>
        <w:t xml:space="preserve">51. Avsec Ž, Kreuzhuber R, Israeli J, Xu N, Cheng J, Shrikumar A, et al. The Kipoi repository accelerates community exchange and reuse of predictive models for genomics. Nat Biotechnol. Springer Science and Business Media LLC; 2019;37: 592–600. doi:</w:t>
      </w:r>
      <w:hyperlink r:id="rId255">
        <w:r>
          <w:rPr>
            <w:rStyle w:val="Hyperlink"/>
          </w:rPr>
          <w:t xml:space="preserve">10.1038/s41587-019-0140-0</w:t>
        </w:r>
      </w:hyperlink>
    </w:p>
    <w:bookmarkEnd w:id="256"/>
    <w:bookmarkStart w:id="258" w:name="ref-xpw2aizK"/>
    <w:p>
      <w:pPr>
        <w:pStyle w:val="Bibliography"/>
      </w:pPr>
      <w:r>
        <w:t xml:space="preserve">52. Smith AM, Niemeyer KE, Katz DS, Barba LA, Githinji G, Gymrek M, et al. Journal of Open Source Software (JOSS): design and first-year review. PeerJ Computer Science. PeerJ; 2018;4: e147. doi:</w:t>
      </w:r>
      <w:hyperlink r:id="rId257">
        <w:r>
          <w:rPr>
            <w:rStyle w:val="Hyperlink"/>
          </w:rPr>
          <w:t xml:space="preserve">10.7717/peerj-cs.147</w:t>
        </w:r>
      </w:hyperlink>
    </w:p>
    <w:bookmarkEnd w:id="258"/>
    <w:bookmarkStart w:id="260" w:name="ref-14ahyJcvY"/>
    <w:p>
      <w:pPr>
        <w:pStyle w:val="Bibliography"/>
      </w:pPr>
      <w:r>
        <w:t xml:space="preserve">53. Marušić A, Bošnjak L, Jerončić A. A Systematic Review of Research on the Meaning, Ethics and Practices of Authorship across Scholarly Disciplines. Jefferson T, editor. PLoS ONE. Public Library of Science (PLoS); 2011;6: e23477. doi:</w:t>
      </w:r>
      <w:hyperlink r:id="rId259">
        <w:r>
          <w:rPr>
            <w:rStyle w:val="Hyperlink"/>
          </w:rPr>
          <w:t xml:space="preserve">10.1371/journal.pone.0023477</w:t>
        </w:r>
      </w:hyperlink>
    </w:p>
    <w:bookmarkEnd w:id="260"/>
    <w:bookmarkStart w:id="262" w:name="ref-RK9sIADd"/>
    <w:p>
      <w:pPr>
        <w:pStyle w:val="Bibliography"/>
      </w:pPr>
      <w:r>
        <w:t xml:space="preserve">54. Gøtzsche PC, Kassirer JP, Woolley KL, Wager E, Jacobs A, Gertel A, et al. What Should Be Done To Tackle Ghostwriting in the Medical Literature? PLoS Med. Public Library of Science (PLoS); 2009;6: e1000023. doi:</w:t>
      </w:r>
      <w:hyperlink r:id="rId261">
        <w:r>
          <w:rPr>
            <w:rStyle w:val="Hyperlink"/>
          </w:rPr>
          <w:t xml:space="preserve">10.1371/journal.pmed.1000023</w:t>
        </w:r>
      </w:hyperlink>
    </w:p>
    <w:bookmarkEnd w:id="262"/>
    <w:bookmarkStart w:id="264" w:name="ref-vzcNEQll"/>
    <w:p>
      <w:pPr>
        <w:pStyle w:val="Bibliography"/>
      </w:pPr>
      <w:r>
        <w:t xml:space="preserve">55. Frassl MA, Hamilton DP, Denfeld BA, de Eyto E, Hampton SE, Keller PS, et al. Ten simple rules for collaboratively writing a multi-authored paper. Lewitter F, editor. PLoS Comput Biol. Public Library of Science (PLoS); 2018;14: e1006508. doi:</w:t>
      </w:r>
      <w:hyperlink r:id="rId263">
        <w:r>
          <w:rPr>
            <w:rStyle w:val="Hyperlink"/>
          </w:rPr>
          <w:t xml:space="preserve">10.1371/journal.pcbi.1006508</w:t>
        </w:r>
      </w:hyperlink>
    </w:p>
    <w:bookmarkEnd w:id="264"/>
    <w:bookmarkStart w:id="266" w:name="ref-e2rpsIbt"/>
    <w:p>
      <w:pPr>
        <w:pStyle w:val="Bibliography"/>
      </w:pPr>
      <w:r>
        <w:t xml:space="preserve">56. Brown CT. Revisiting authorship, and JOSS software publications. In: Living in an Ivory Basement [Internet]. 16 Jan 2019 [cited 11 Apr 2019]. Available:</w:t>
      </w:r>
      <w:r>
        <w:t xml:space="preserve"> </w:t>
      </w:r>
      <w:hyperlink r:id="rId265">
        <w:r>
          <w:rPr>
            <w:rStyle w:val="Hyperlink"/>
          </w:rPr>
          <w:t xml:space="preserve">http://ivory.idyll.org/blog/2019-authorship-revisiting.html</w:t>
        </w:r>
      </w:hyperlink>
    </w:p>
    <w:bookmarkEnd w:id="266"/>
    <w:bookmarkStart w:id="268" w:name="ref-15YfJWkEd"/>
    <w:p>
      <w:pPr>
        <w:pStyle w:val="Bibliography"/>
      </w:pPr>
      <w:r>
        <w:t xml:space="preserve">57. Aad G, Abbott B, Abdallah J, Abdinov O, Aben R, Abolins M, et al. Combined Measurement of the Higgs Boson Mass in pp Collisions at sqrt[s]=7 and 8 TeV with the ATLAS and CMS Experiments. Phys Rev Lett. American Physical Society (APS); 2015;114. doi:</w:t>
      </w:r>
      <w:hyperlink r:id="rId267">
        <w:r>
          <w:rPr>
            <w:rStyle w:val="Hyperlink"/>
          </w:rPr>
          <w:t xml:space="preserve">10.1103/physrevlett.114.191803</w:t>
        </w:r>
      </w:hyperlink>
    </w:p>
    <w:bookmarkEnd w:id="268"/>
    <w:bookmarkStart w:id="270" w:name="ref-Szy8sdWq"/>
    <w:p>
      <w:pPr>
        <w:pStyle w:val="Bibliography"/>
      </w:pPr>
      <w:r>
        <w:t xml:space="preserve">58. Leung W, Shaffer CD, Reed LK, Smith ST, Barshop W, Dirkes W, et al. Drosophila Muller F Elements Maintain a Distinct Set of Genomic Properties Over 40 Million Years of Evolution. G3. Genetics Society of America; 2015;5: 719–740. doi:</w:t>
      </w:r>
      <w:hyperlink r:id="rId269">
        <w:r>
          <w:rPr>
            <w:rStyle w:val="Hyperlink"/>
          </w:rPr>
          <w:t xml:space="preserve">10.1534/g3.114.015966</w:t>
        </w:r>
      </w:hyperlink>
    </w:p>
    <w:bookmarkEnd w:id="270"/>
    <w:bookmarkStart w:id="272" w:name="ref-NGOit8L2"/>
    <w:p>
      <w:pPr>
        <w:pStyle w:val="Bibliography"/>
      </w:pPr>
      <w:r>
        <w:t xml:space="preserve">59. Woolston C. Fruit-fly paper has 1,000 authors. Nature. Springer Nature; 2015;521: 263–263. doi:</w:t>
      </w:r>
      <w:hyperlink r:id="rId271">
        <w:r>
          <w:rPr>
            <w:rStyle w:val="Hyperlink"/>
          </w:rPr>
          <w:t xml:space="preserve">10.1038/521263f</w:t>
        </w:r>
      </w:hyperlink>
    </w:p>
    <w:bookmarkEnd w:id="272"/>
    <w:bookmarkStart w:id="274" w:name="ref-nahdPyLb"/>
    <w:p>
      <w:pPr>
        <w:pStyle w:val="Bibliography"/>
      </w:pPr>
      <w:r>
        <w:t xml:space="preserve">60. Castelvecchi D. Physics paper sets record with more than 5,000 authors. Nature. Springer Nature; 2015; doi:</w:t>
      </w:r>
      <w:hyperlink r:id="rId273">
        <w:r>
          <w:rPr>
            <w:rStyle w:val="Hyperlink"/>
          </w:rPr>
          <w:t xml:space="preserve">10.1038/nature.2015.17567</w:t>
        </w:r>
      </w:hyperlink>
    </w:p>
    <w:bookmarkEnd w:id="274"/>
    <w:bookmarkStart w:id="276" w:name="ref-Rhm4AK0j"/>
    <w:p>
      <w:pPr>
        <w:pStyle w:val="Bibliography"/>
      </w:pPr>
      <w:r>
        <w:t xml:space="preserve">61. Pautasso M. Ten Simple Rules for Writing a Literature Review. Bourne PE, editor. PLoS Comput Biol. Public Library of Science (PLoS); 2013;9: e1003149. doi:</w:t>
      </w:r>
      <w:hyperlink r:id="rId275">
        <w:r>
          <w:rPr>
            <w:rStyle w:val="Hyperlink"/>
          </w:rPr>
          <w:t xml:space="preserve">10.1371/journal.pcbi.1003149</w:t>
        </w:r>
      </w:hyperlink>
    </w:p>
    <w:bookmarkEnd w:id="276"/>
    <w:bookmarkStart w:id="278" w:name="ref-jYs2OUFW"/>
    <w:p>
      <w:pPr>
        <w:pStyle w:val="Bibliography"/>
      </w:pPr>
      <w:r>
        <w:t xml:space="preserve">62. Bastian H. A Stronger Post-Publication Culture Is Needed for Better Science. PLoS Med. Public Library of Science (PLoS); 2014;11: e1001772. doi:</w:t>
      </w:r>
      <w:hyperlink r:id="rId277">
        <w:r>
          <w:rPr>
            <w:rStyle w:val="Hyperlink"/>
          </w:rPr>
          <w:t xml:space="preserve">10.1371/journal.pmed.1001772</w:t>
        </w:r>
      </w:hyperlink>
    </w:p>
    <w:bookmarkEnd w:id="278"/>
    <w:bookmarkStart w:id="280" w:name="ref-HflJ6Hy5"/>
    <w:p>
      <w:pPr>
        <w:pStyle w:val="Bibliography"/>
      </w:pPr>
      <w:r>
        <w:t xml:space="preserve">63. Hunter J. Post-Publication Peer Review: Opening Up Scientific Conversation. Front Comput Neurosci. Frontiers Media SA; 2012;6. doi:</w:t>
      </w:r>
      <w:hyperlink r:id="rId279">
        <w:r>
          <w:rPr>
            <w:rStyle w:val="Hyperlink"/>
          </w:rPr>
          <w:t xml:space="preserve">10.3389/fncom.2012.00063</w:t>
        </w:r>
      </w:hyperlink>
    </w:p>
    <w:bookmarkEnd w:id="280"/>
    <w:bookmarkStart w:id="282" w:name="ref-uw5bep8P"/>
    <w:p>
      <w:pPr>
        <w:pStyle w:val="Bibliography"/>
      </w:pPr>
      <w:r>
        <w:t xml:space="preserve">64. Markie M. Post-publication peer review, in all its guises, is here to stay. Insights the UKSG journal. Ubiquity Press, Ltd. 2015;28: 107–110. doi:</w:t>
      </w:r>
      <w:hyperlink r:id="rId281">
        <w:r>
          <w:rPr>
            <w:rStyle w:val="Hyperlink"/>
          </w:rPr>
          <w:t xml:space="preserve">10.1629/uksg.245</w:t>
        </w:r>
      </w:hyperlink>
    </w:p>
    <w:bookmarkEnd w:id="282"/>
    <w:bookmarkStart w:id="284" w:name="ref-RExXs8is"/>
    <w:p>
      <w:pPr>
        <w:pStyle w:val="Bibliography"/>
      </w:pPr>
      <w:r>
        <w:t xml:space="preserve">65. The Univalent Foundations Program. Homotopy Type Theory: Univalent Foundations of Mathematics [Internet]. Institute for Advanced Study; 2013. Available:</w:t>
      </w:r>
      <w:r>
        <w:t xml:space="preserve"> </w:t>
      </w:r>
      <w:hyperlink r:id="rId283">
        <w:r>
          <w:rPr>
            <w:rStyle w:val="Hyperlink"/>
          </w:rPr>
          <w:t xml:space="preserve">https://homotopytypetheory.org/book/</w:t>
        </w:r>
      </w:hyperlink>
    </w:p>
    <w:bookmarkEnd w:id="284"/>
    <w:bookmarkStart w:id="286" w:name="ref-MhC1nPDK"/>
    <w:p>
      <w:pPr>
        <w:pStyle w:val="Bibliography"/>
      </w:pPr>
      <w:r>
        <w:t xml:space="preserve">66. Bauer A. The HoTT book. In: Mathematics and Computation [Internet]. 20 Jun 2013. Available:</w:t>
      </w:r>
      <w:r>
        <w:t xml:space="preserve"> </w:t>
      </w:r>
      <w:hyperlink r:id="rId285">
        <w:r>
          <w:rPr>
            <w:rStyle w:val="Hyperlink"/>
          </w:rPr>
          <w:t xml:space="preserve">http://math.andrej.com/2013/06/20/the-hott-book/</w:t>
        </w:r>
      </w:hyperlink>
    </w:p>
    <w:bookmarkEnd w:id="286"/>
    <w:bookmarkStart w:id="288" w:name="ref-52Q1v5nS"/>
    <w:p>
      <w:pPr>
        <w:pStyle w:val="Bibliography"/>
      </w:pPr>
      <w:r>
        <w:t xml:space="preserve">67. Tennant JP, Dugan JM, Graziotin D, Jacques DC, Waldner F, Mietchen D, et al. A multi-disciplinary perspective on emergent and future innovations in peer review. F1000Res. F1000 ( Faculty of 1000 Ltd); 2017;6: 1151. doi:</w:t>
      </w:r>
      <w:hyperlink r:id="rId287">
        <w:r>
          <w:rPr>
            <w:rStyle w:val="Hyperlink"/>
          </w:rPr>
          <w:t xml:space="preserve">10.12688/f1000research.12037.2</w:t>
        </w:r>
      </w:hyperlink>
    </w:p>
    <w:bookmarkEnd w:id="288"/>
    <w:bookmarkStart w:id="290" w:name="ref-82ZjWq3i"/>
    <w:p>
      <w:pPr>
        <w:pStyle w:val="Bibliography"/>
      </w:pPr>
      <w:r>
        <w:t xml:space="preserve">68. Vrieze J. Nearly 100 scientists spent 2 months on Google Docs to redefine the p-value. Here’s what they came up with. Science. American Association for the Advancement of Science (AAAS); 2018; doi:</w:t>
      </w:r>
      <w:hyperlink r:id="rId289">
        <w:r>
          <w:rPr>
            <w:rStyle w:val="Hyperlink"/>
          </w:rPr>
          <w:t xml:space="preserve">10.1126/science.aat0471</w:t>
        </w:r>
      </w:hyperlink>
    </w:p>
    <w:bookmarkEnd w:id="290"/>
    <w:bookmarkStart w:id="292" w:name="ref-HXpnCQu1"/>
    <w:p>
      <w:pPr>
        <w:pStyle w:val="Bibliography"/>
      </w:pPr>
      <w:r>
        <w:t xml:space="preserve">69. Lakens D, Adolfi FG, Albers CJ, Anvari F, Apps MAJ, Argamon SE, et al. Justify your alpha. Nat Hum Behav. Springer Nature; 2018;2: 168–171. doi:</w:t>
      </w:r>
      <w:hyperlink r:id="rId291">
        <w:r>
          <w:rPr>
            <w:rStyle w:val="Hyperlink"/>
          </w:rPr>
          <w:t xml:space="preserve">10.1038/s41562-018-0311-x</w:t>
        </w:r>
      </w:hyperlink>
    </w:p>
    <w:bookmarkEnd w:id="292"/>
    <w:bookmarkStart w:id="294"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3">
        <w:r>
          <w:rPr>
            <w:rStyle w:val="Hyperlink"/>
          </w:rPr>
          <w:t xml:space="preserve">https://arxiv.org/abs/1502.01329v2</w:t>
        </w:r>
      </w:hyperlink>
    </w:p>
    <w:bookmarkEnd w:id="294"/>
    <w:bookmarkStart w:id="296" w:name="ref-H0XkaC8S"/>
    <w:p>
      <w:pPr>
        <w:pStyle w:val="Bibliography"/>
      </w:pPr>
      <w:r>
        <w:t xml:space="preserve">71. Mobley DL, Shirts MR, Zuckerman DM. Why we need the Living Journal of Computational Molecular Science. LiveCoMS. 2017; 2031. doi:</w:t>
      </w:r>
      <w:hyperlink r:id="rId295">
        <w:r>
          <w:rPr>
            <w:rStyle w:val="Hyperlink"/>
          </w:rPr>
          <w:t xml:space="preserve">10.33011/livecoms.1.1.2031</w:t>
        </w:r>
      </w:hyperlink>
    </w:p>
    <w:bookmarkEnd w:id="296"/>
    <w:bookmarkStart w:id="298" w:name="ref-Bu8VxdWB"/>
    <w:p>
      <w:pPr>
        <w:pStyle w:val="Bibliography"/>
      </w:pPr>
      <w:r>
        <w:t xml:space="preserve">72. Goodman A, Peek J, Accomazzi A, Beaumont C, Borgman CL, Chen H-HH, et al. The “Paper” of the Future [Internet]. Authorea. Authorea, Inc. doi:</w:t>
      </w:r>
      <w:hyperlink r:id="rId297">
        <w:r>
          <w:rPr>
            <w:rStyle w:val="Hyperlink"/>
          </w:rPr>
          <w:t xml:space="preserve">10.22541/au.148769949.92783646</w:t>
        </w:r>
      </w:hyperlink>
    </w:p>
    <w:bookmarkEnd w:id="298"/>
    <w:bookmarkStart w:id="300" w:name="ref-WDvu1SAV"/>
    <w:p>
      <w:pPr>
        <w:pStyle w:val="Bibliography"/>
      </w:pPr>
      <w:r>
        <w:t xml:space="preserve">73. Pepe A, Cantiello M, Nicholson J. The arXiv of the future will not look like the arXiv [Internet]. Authorea. Authorea, Inc. doi:</w:t>
      </w:r>
      <w:hyperlink r:id="rId299">
        <w:r>
          <w:rPr>
            <w:rStyle w:val="Hyperlink"/>
          </w:rPr>
          <w:t xml:space="preserve">10.22541/au.149693987.70506124</w:t>
        </w:r>
      </w:hyperlink>
    </w:p>
    <w:bookmarkEnd w:id="300"/>
    <w:bookmarkStart w:id="302" w:name="ref-ILhLpgTs"/>
    <w:p>
      <w:pPr>
        <w:pStyle w:val="Bibliography"/>
      </w:pPr>
      <w:r>
        <w:t xml:space="preserve">74. Brown CT. TechBlog: C. Titus Brown: Predicting the paper of the future. In: Naturejobs [Internet]. 1 Jun 2017. Available:</w:t>
      </w:r>
      <w:r>
        <w:t xml:space="preserve"> </w:t>
      </w:r>
      <w:hyperlink r:id="rId301">
        <w:r>
          <w:rPr>
            <w:rStyle w:val="Hyperlink"/>
          </w:rPr>
          <w:t xml:space="preserve">http://blogs.nature.com/naturejobs/2017/06/01/techblog-c-titus-brown-predicting-the-paper-of-the-future/</w:t>
        </w:r>
      </w:hyperlink>
    </w:p>
    <w:bookmarkEnd w:id="302"/>
    <w:bookmarkStart w:id="304" w:name="ref-1BISa1RLr"/>
    <w:p>
      <w:pPr>
        <w:pStyle w:val="Bibliography"/>
      </w:pPr>
      <w:r>
        <w:t xml:space="preserve">75. Xie Y. bookdown [Internet]. Chapman &amp;Hall/CRC The R Series. CRC Press; 2016. doi:</w:t>
      </w:r>
      <w:hyperlink r:id="rId303">
        <w:r>
          <w:rPr>
            <w:rStyle w:val="Hyperlink"/>
          </w:rPr>
          <w:t xml:space="preserve">10.1201/9781315204963</w:t>
        </w:r>
      </w:hyperlink>
    </w:p>
    <w:bookmarkEnd w:id="304"/>
    <w:bookmarkStart w:id="306" w:name="ref-1CblcIDkq"/>
    <w:p>
      <w:pPr>
        <w:pStyle w:val="Bibliography"/>
      </w:pPr>
      <w:r>
        <w:t xml:space="preserve">76. Davis S, Ramos M, Shepherd L, Turaga N, Geistlinger L, Morgan MT, et al. Orchestrating a community-developed computational workshop and accompanying training materials. F1000Res. F1000 ( Faculty of 1000 Ltd); 2018;7: 1656. doi:</w:t>
      </w:r>
      <w:hyperlink r:id="rId305">
        <w:r>
          <w:rPr>
            <w:rStyle w:val="Hyperlink"/>
          </w:rPr>
          <w:t xml:space="preserve">10.12688/f1000research.16516.1</w:t>
        </w:r>
      </w:hyperlink>
    </w:p>
    <w:bookmarkEnd w:id="306"/>
    <w:bookmarkStart w:id="308" w:name="ref-nqeDrtsc"/>
    <w:p>
      <w:pPr>
        <w:pStyle w:val="Bibliography"/>
      </w:pPr>
      <w:r>
        <w:t xml:space="preserve">77. Fenner M. Continuous Publishing. In: Gobbledygook [Internet]. 10 Mar 2014. Available:</w:t>
      </w:r>
      <w:r>
        <w:t xml:space="preserve"> </w:t>
      </w:r>
      <w:hyperlink r:id="rId307">
        <w:r>
          <w:rPr>
            <w:rStyle w:val="Hyperlink"/>
          </w:rPr>
          <w:t xml:space="preserve">http://blog.martinfenner.org/2014/03/10/continuous-publishing/</w:t>
        </w:r>
      </w:hyperlink>
    </w:p>
    <w:bookmarkEnd w:id="308"/>
    <w:bookmarkStart w:id="310" w:name="ref-ujrfOBM1"/>
    <w:p>
      <w:pPr>
        <w:pStyle w:val="Bibliography"/>
      </w:pPr>
      <w:r>
        <w:t xml:space="preserve">78. Bartling S, Friesike S, editors. Opening Science [Internet]. Springer International Publishing; 2014. doi:</w:t>
      </w:r>
      <w:hyperlink r:id="rId309">
        <w:r>
          <w:rPr>
            <w:rStyle w:val="Hyperlink"/>
          </w:rPr>
          <w:t xml:space="preserve">10.1007/978-3-319-00026-8</w:t>
        </w:r>
      </w:hyperlink>
    </w:p>
    <w:bookmarkEnd w:id="310"/>
    <w:bookmarkStart w:id="312" w:name="ref-MHNCSD5I"/>
    <w:p>
      <w:pPr>
        <w:pStyle w:val="Bibliography"/>
      </w:pPr>
      <w:r>
        <w:t xml:space="preserve">79. Olah C, Satyanarayan A, Johnson I, Carter S, Schubert L, Ye K, et al. The Building Blocks of Interpretability. Distill. Distill Working Group; 2018;3. doi:</w:t>
      </w:r>
      <w:hyperlink r:id="rId311">
        <w:r>
          <w:rPr>
            <w:rStyle w:val="Hyperlink"/>
          </w:rPr>
          <w:t xml:space="preserve">10.23915/distill.00010</w:t>
        </w:r>
      </w:hyperlink>
    </w:p>
    <w:bookmarkEnd w:id="312"/>
    <w:bookmarkStart w:id="314" w:name="ref-1ESo5MNnB"/>
    <w:p>
      <w:pPr>
        <w:pStyle w:val="Bibliography"/>
      </w:pPr>
      <w:r>
        <w:t xml:space="preserve">80. Conlen M, Osheroff A. Announcing idyll.pub. In: Idyll [Internet]. 26 Jun 2018. Available:</w:t>
      </w:r>
      <w:r>
        <w:t xml:space="preserve"> </w:t>
      </w:r>
      <w:hyperlink r:id="rId313">
        <w:r>
          <w:rPr>
            <w:rStyle w:val="Hyperlink"/>
          </w:rPr>
          <w:t xml:space="preserve">https://idyll.pub/post/announcing-idyll-pub-0a3eff0661df3446a915700d/</w:t>
        </w:r>
      </w:hyperlink>
    </w:p>
    <w:bookmarkEnd w:id="314"/>
    <w:bookmarkStart w:id="316" w:name="ref-BWMf57EM"/>
    <w:p>
      <w:pPr>
        <w:pStyle w:val="Bibliography"/>
      </w:pPr>
      <w:r>
        <w:t xml:space="preserve">81. Aufreiter M, Pawlik A, Bentley N. Stencila – an office suite for reproducible research. In: eLife Labs [Internet]. 2 Jul 2018. Available:</w:t>
      </w:r>
      <w:r>
        <w:t xml:space="preserve"> </w:t>
      </w:r>
      <w:hyperlink r:id="rId315">
        <w:r>
          <w:rPr>
            <w:rStyle w:val="Hyperlink"/>
          </w:rPr>
          <w:t xml:space="preserve">https://elifesciences.org/labs/c496b8bb/stencila-an-office-suite-for-reproducible-research</w:t>
        </w:r>
      </w:hyperlink>
    </w:p>
    <w:bookmarkEnd w:id="316"/>
    <w:bookmarkStart w:id="318"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7">
        <w:r>
          <w:rPr>
            <w:rStyle w:val="Hyperlink"/>
          </w:rPr>
          <w:t xml:space="preserve">https://elifesciences.org/labs/ad58f08d/introducing-elife-s-first-computationally-reproducible-article</w:t>
        </w:r>
      </w:hyperlink>
    </w:p>
    <w:bookmarkEnd w:id="318"/>
    <w:bookmarkStart w:id="320" w:name="ref-8o1nWux7"/>
    <w:p>
      <w:pPr>
        <w:pStyle w:val="Bibliography"/>
      </w:pPr>
      <w:r>
        <w:t xml:space="preserve">83. Rougier NP, Hinsen K, Alexandre F, Arildsen T, Barba LA, Benureau FCY, et al. Sustainable computational science: the ReScience initiative. PeerJ Computer Science. PeerJ; 2017;3: e142. doi:</w:t>
      </w:r>
      <w:hyperlink r:id="rId319">
        <w:r>
          <w:rPr>
            <w:rStyle w:val="Hyperlink"/>
          </w:rPr>
          <w:t xml:space="preserve">10.7717/peerj-cs.142</w:t>
        </w:r>
      </w:hyperlink>
    </w:p>
    <w:bookmarkEnd w:id="320"/>
    <w:bookmarkStart w:id="322" w:name="ref-1ESYVbN4H"/>
    <w:p>
      <w:pPr>
        <w:pStyle w:val="Bibliography"/>
      </w:pPr>
      <w:r>
        <w:t xml:space="preserve">84. Editors D. Distill Update 2018. Distill. Distill Working Group; 2018;3. doi:</w:t>
      </w:r>
      <w:hyperlink r:id="rId321">
        <w:r>
          <w:rPr>
            <w:rStyle w:val="Hyperlink"/>
          </w:rPr>
          <w:t xml:space="preserve">10.23915/distill.00013</w:t>
        </w:r>
      </w:hyperlink>
    </w:p>
    <w:bookmarkEnd w:id="322"/>
    <w:bookmarkStart w:id="324" w:name="ref-vf9t7xMG"/>
    <w:p>
      <w:pPr>
        <w:pStyle w:val="Bibliography"/>
      </w:pPr>
      <w:r>
        <w:t xml:space="preserve">85. Wu Y, Wang N, Kropczynski J, Carroll JM. The appropriation of GitHub for curation. PeerJ Computer Science. PeerJ; 2017;3: e134. doi:</w:t>
      </w:r>
      <w:hyperlink r:id="rId323">
        <w:r>
          <w:rPr>
            <w:rStyle w:val="Hyperlink"/>
          </w:rPr>
          <w:t xml:space="preserve">10.7717/peerj-cs.134</w:t>
        </w:r>
      </w:hyperlink>
    </w:p>
    <w:bookmarkEnd w:id="324"/>
    <w:bookmarkStart w:id="326"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5">
        <w:r>
          <w:rPr>
            <w:rStyle w:val="Hyperlink"/>
          </w:rPr>
          <w:t xml:space="preserve">10.1109/hicss.2007.277</w:t>
        </w:r>
      </w:hyperlink>
    </w:p>
    <w:bookmarkEnd w:id="326"/>
    <w:bookmarkStart w:id="328"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7">
        <w:r>
          <w:rPr>
            <w:rStyle w:val="Hyperlink"/>
          </w:rPr>
          <w:t xml:space="preserve">10.1109/saner.2017.7884606</w:t>
        </w:r>
      </w:hyperlink>
    </w:p>
    <w:bookmarkEnd w:id="328"/>
    <w:bookmarkStart w:id="330" w:name="ref-PuP45jrB"/>
    <w:p>
      <w:pPr>
        <w:pStyle w:val="Bibliography"/>
      </w:pPr>
      <w:r>
        <w:t xml:space="preserve">88. Tennant JP, Waldner F, Jacques DC, Masuzzo P, Collister LB, Hartgerink CHJ. The academic, economic and societal impacts of Open Access: an evidence-based review. F1000Res. F1000 ( Faculty of 1000 Ltd); 2016;5: 632. doi:</w:t>
      </w:r>
      <w:hyperlink r:id="rId329">
        <w:r>
          <w:rPr>
            <w:rStyle w:val="Hyperlink"/>
          </w:rPr>
          <w:t xml:space="preserve">10.12688/f1000research.8460.3</w:t>
        </w:r>
      </w:hyperlink>
    </w:p>
    <w:bookmarkEnd w:id="330"/>
    <w:bookmarkStart w:id="332" w:name="ref-HQfvK1OF"/>
    <w:p>
      <w:pPr>
        <w:pStyle w:val="Bibliography"/>
      </w:pPr>
      <w:r>
        <w:t xml:space="preserve">89. McKiernan EC, Bourne PE, Brown CT, Buck S, Kenall A, Lin J, et al. How open science helps researchers succeed. eLife. eLife Sciences Publications, Ltd; 2016;5. doi:</w:t>
      </w:r>
      <w:hyperlink r:id="rId331">
        <w:r>
          <w:rPr>
            <w:rStyle w:val="Hyperlink"/>
          </w:rPr>
          <w:t xml:space="preserve">10.7554/elife.16800</w:t>
        </w:r>
      </w:hyperlink>
    </w:p>
    <w:bookmarkEnd w:id="332"/>
    <w:bookmarkStart w:id="334" w:name="ref-g6WVoxNy"/>
    <w:p>
      <w:pPr>
        <w:pStyle w:val="Bibliography"/>
      </w:pPr>
      <w:r>
        <w:t xml:space="preserve">90. Stodden V. The Legal Framework for Reproducible Scientific Research: Licensing and Copyright. Comput Sci Eng. Institute of Electrical and Electronics Engineers (IEEE); 2009;11: 35–40. doi:</w:t>
      </w:r>
      <w:hyperlink r:id="rId333">
        <w:r>
          <w:rPr>
            <w:rStyle w:val="Hyperlink"/>
          </w:rPr>
          <w:t xml:space="preserve">10.1109/mcse.2009.19</w:t>
        </w:r>
      </w:hyperlink>
    </w:p>
    <w:bookmarkEnd w:id="334"/>
    <w:bookmarkStart w:id="336" w:name="ref-137tbemL9"/>
    <w:p>
      <w:pPr>
        <w:pStyle w:val="Bibliography"/>
      </w:pPr>
      <w:r>
        <w:t xml:space="preserve">91. Oxenham S. Legal confusion threatens to slow data science. Nature. Springer Nature; 2016;536: 16–17. doi:</w:t>
      </w:r>
      <w:hyperlink r:id="rId335">
        <w:r>
          <w:rPr>
            <w:rStyle w:val="Hyperlink"/>
          </w:rPr>
          <w:t xml:space="preserve">10.1038/536016a</w:t>
        </w:r>
      </w:hyperlink>
    </w:p>
    <w:bookmarkEnd w:id="336"/>
    <w:bookmarkStart w:id="338" w:name="ref-gvyja7v1"/>
    <w:p>
      <w:pPr>
        <w:pStyle w:val="Bibliography"/>
      </w:pPr>
      <w:r>
        <w:t xml:space="preserve">92. Stodden V, McNutt M, Bailey DH, Deelman E, Gil Y, Hanson B, et al. Enhancing reproducibility for computational methods. Science. American Association for the Advancement of Science (AAAS); 2016;354: 1240–1241. doi:</w:t>
      </w:r>
      <w:hyperlink r:id="rId337">
        <w:r>
          <w:rPr>
            <w:rStyle w:val="Hyperlink"/>
          </w:rPr>
          <w:t xml:space="preserve">10.1126/science.aah6168</w:t>
        </w:r>
      </w:hyperlink>
    </w:p>
    <w:bookmarkEnd w:id="338"/>
    <w:bookmarkStart w:id="340" w:name="ref-rgo1TZr"/>
    <w:p>
      <w:pPr>
        <w:pStyle w:val="Bibliography"/>
      </w:pPr>
      <w:r>
        <w:t xml:space="preserve">93. Ince DC, Hatton L, Graham-Cumming J. The case for open computer programs. Nature. Springer Nature; 2012;482: 485–488. doi:</w:t>
      </w:r>
      <w:hyperlink r:id="rId339">
        <w:r>
          <w:rPr>
            <w:rStyle w:val="Hyperlink"/>
          </w:rPr>
          <w:t xml:space="preserve">10.1038/nature10836</w:t>
        </w:r>
      </w:hyperlink>
    </w:p>
    <w:bookmarkEnd w:id="340"/>
    <w:bookmarkStart w:id="342" w:name="ref-1A97a4UwU"/>
    <w:p>
      <w:pPr>
        <w:pStyle w:val="Bibliography"/>
      </w:pPr>
      <w:r>
        <w:t xml:space="preserve">94. Molloy JC. The Open Knowledge Foundation: Open Data Means Better Science. PLoS Biol. Public Library of Science (PLoS); 2011;9: e1001195. doi:</w:t>
      </w:r>
      <w:hyperlink r:id="rId341">
        <w:r>
          <w:rPr>
            <w:rStyle w:val="Hyperlink"/>
          </w:rPr>
          <w:t xml:space="preserve">10.1371/journal.pbio.1001195</w:t>
        </w:r>
      </w:hyperlink>
    </w:p>
    <w:bookmarkEnd w:id="342"/>
    <w:bookmarkStart w:id="344" w:name="ref-17EdosXzD"/>
    <w:p>
      <w:pPr>
        <w:pStyle w:val="Bibliography"/>
      </w:pPr>
      <w:r>
        <w:t xml:space="preserve">95. Patil C, Siegel V. This revolution will be digitized: online tools for radical collaboration. Disease Models &amp; Mechanisms. The Company of Biologists; 2009;2: 201–205. doi:</w:t>
      </w:r>
      <w:hyperlink r:id="rId343">
        <w:r>
          <w:rPr>
            <w:rStyle w:val="Hyperlink"/>
          </w:rPr>
          <w:t xml:space="preserve">10.1242/dmm.003285</w:t>
        </w:r>
      </w:hyperlink>
    </w:p>
    <w:bookmarkEnd w:id="344"/>
    <w:bookmarkStart w:id="346" w:name="ref-1pWYlPj4"/>
    <w:p>
      <w:pPr>
        <w:pStyle w:val="Bibliography"/>
      </w:pPr>
      <w:r>
        <w:t xml:space="preserve">96. Mietchen D, Mounce R, Penev L. Publishing the research process. RIO. Pensoft Publishers; 2015;1: e7547. doi:</w:t>
      </w:r>
      <w:hyperlink r:id="rId345">
        <w:r>
          <w:rPr>
            <w:rStyle w:val="Hyperlink"/>
          </w:rPr>
          <w:t xml:space="preserve">10.3897/rio.1.e7547</w:t>
        </w:r>
      </w:hyperlink>
    </w:p>
    <w:bookmarkEnd w:id="346"/>
    <w:bookmarkStart w:id="348" w:name="ref-LaBVNb71"/>
    <w:p>
      <w:pPr>
        <w:pStyle w:val="Bibliography"/>
      </w:pPr>
      <w:r>
        <w:t xml:space="preserve">97. Slochower D, Himmelstein D. How to edit a manuscript on GitHub with Manubot [Internet]. Figshare; 2019. doi:</w:t>
      </w:r>
      <w:hyperlink r:id="rId347">
        <w:r>
          <w:rPr>
            <w:rStyle w:val="Hyperlink"/>
          </w:rPr>
          <w:t xml:space="preserve">10.6084/m9.figshare.7946192.v2</w:t>
        </w:r>
      </w:hyperlink>
    </w:p>
    <w:bookmarkEnd w:id="348"/>
    <w:bookmarkEnd w:id="349"/>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svg" /><Relationship Type="http://schemas.openxmlformats.org/officeDocument/2006/relationships/image" Id="rId76" Target="media/rId76.png" /><Relationship Type="http://schemas.openxmlformats.org/officeDocument/2006/relationships/image" Id="rId37" Target="media/rId37.svg" /><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2" Target="https://archive.softwareheritage.org/swh:1:dir:4e689f4e2f4b272b8672142f4c81abd3e77392f9;origin=https://github.com/manubot/rootstock.git/" TargetMode="External" /><Relationship Type="http://schemas.openxmlformats.org/officeDocument/2006/relationships/hyperlink" Id="rId150" Target="https://archive.softwareheritage.org/swh:1:dir:506058af283d6d311a92d03b02adb9dca9f139de;origin=https://github.com/manubot/manubot.git/" TargetMode="External" /><Relationship Type="http://schemas.openxmlformats.org/officeDocument/2006/relationships/hyperlink" Id="rId148" Target="https://archive.softwareheritage.org/swh:1:dir:da789e842d0af90f0fa50de522f0c4caae95e4e3;origin=https://github.com/greenelab/meta-review/"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347" Target="https://doi.org/10.6084/m9.figshare.7946192.v2" TargetMode="External" /><Relationship Type="http://schemas.openxmlformats.org/officeDocument/2006/relationships/hyperlink" Id="rId249" Target="https://doi.org/10.6084/m9.figshare77"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eb7a64b8cc8f79f03e43f7909889138d26dd0807"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eb7a64b8cc8f79f03e43f7909889138d26dd0807/"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2" Target="https://archive.softwareheritage.org/swh:1:dir:4e689f4e2f4b272b8672142f4c81abd3e77392f9;origin=https://github.com/manubot/rootstock.git/" TargetMode="External" /><Relationship Type="http://schemas.openxmlformats.org/officeDocument/2006/relationships/hyperlink" Id="rId150" Target="https://archive.softwareheritage.org/swh:1:dir:506058af283d6d311a92d03b02adb9dca9f139de;origin=https://github.com/manubot/manubot.git/" TargetMode="External" /><Relationship Type="http://schemas.openxmlformats.org/officeDocument/2006/relationships/hyperlink" Id="rId148" Target="https://archive.softwareheritage.org/swh:1:dir:da789e842d0af90f0fa50de522f0c4caae95e4e3;origin=https://github.com/greenelab/meta-review/"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347" Target="https://doi.org/10.6084/m9.figshare.7946192.v2" TargetMode="External" /><Relationship Type="http://schemas.openxmlformats.org/officeDocument/2006/relationships/hyperlink" Id="rId249" Target="https://doi.org/10.6084/m9.figshare77"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eb7a64b8cc8f79f03e43f7909889138d26dd0807"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eb7a64b8cc8f79f03e43f7909889138d26dd0807/"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2019-06-14T15:30:39Z</dcterms:created>
  <dcterms:modified xsi:type="dcterms:W3CDTF">2019-06-14T15:30:39Z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2019-06-14</vt:lpwstr>
  </property>
  <property fmtid="{D5CDD505-2E9C-101B-9397-08002B2CF9AE}" pid="6" name="link-citations">
    <vt:lpwstr>True</vt:lpwstr>
  </property>
</Properties>
</file>