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greenelab/phenoplier_manuscript@16c2360</w:t>
        </w:r>
      </w:hyperlink>
      <w:r>
        <w:t xml:space="preserve"> </w:t>
      </w:r>
      <w:r>
        <w:t xml:space="preserve">on July 29,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PhenoPLIER, a polygenic approach that leverages modules of genes with shared expression patterns across large data compendia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w:t>
      </w:r>
      <w:r>
        <w:t xml:space="preserve"> </w:t>
      </w:r>
      <w:r>
        <w:t xml:space="preserve">Our approach was more accurate in predicting known drug-disease pairs and identifying known mechanisms of action.</w:t>
      </w:r>
      <w:r>
        <w:t xml:space="preserve"> </w:t>
      </w:r>
      <w:r>
        <w:t xml:space="preserve">Furthermore, using a CRISPR-screen for the analysis of lipid regulation, we show that PhenoPLIER is more robust to prioritize drug targets than a standard single-gene method.</w:t>
      </w:r>
      <w:r>
        <w:t xml:space="preserve"> </w:t>
      </w:r>
      <w:r>
        <w:t xml:space="preserve"> </w:t>
      </w:r>
      <w:r>
        <w:t xml:space="preserve">By incorporating groups of co-expressed genes, PhenoPLIER can contextualize genetic associations and reveal potentially attractive targets for pharmacologic intervention when single disease-associated genes are not detected or are not druggable.</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brain cell types.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 and this improves robustness to detect and interpret genetic associations.</w:t>
      </w:r>
      <w:r>
        <w:t xml:space="preserve"> </w:t>
      </w:r>
      <w:r>
        <w:t xml:space="preserve">The approach can aid future endeavors focused on identifying potential drug targets for complex disease phenotypes.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of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 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transcript-level gene expression quantified by RNA-seq in a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drug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 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alternative drug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to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to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numbers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goes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were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3584149"/>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3584149"/>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the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w:t>
      </w:r>
      <w:r>
        <w:t xml:space="preserve">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strategy that integrates statistical associations from TWAS with groups of genes (gene modules) that have similar expression patterns across the same cell types.</w:t>
      </w:r>
      <w:r>
        <w:t xml:space="preserve"> </w:t>
      </w:r>
      <w:r>
        <w:t xml:space="preserve">Our key innovation is that we project gene-trait associations through a latent representation derived not strictly from measures of normal tissue but also cell types under a variety of stimuli and at various developmental stages.</w:t>
      </w:r>
      <w:r>
        <w:t xml:space="preserve"> </w:t>
      </w:r>
      <w:r>
        <w:t xml:space="preserve">This improves interpretation by going beyond statistical associations to infer cell type-specific features of complex phenotypes.</w:t>
      </w:r>
      <w:r>
        <w:t xml:space="preserve"> </w:t>
      </w:r>
      <w:r>
        <w:t xml:space="preserve">We found that our approach can identify disease-relevant cell types from summary statistics, and several disease-associated gene modules were replicated in eMERGE.</w:t>
      </w:r>
      <w:r>
        <w:t xml:space="preserve"> </w:t>
      </w:r>
      <w:r>
        <w:t xml:space="preserve">Using a CRISPR screen to analyze lipid regulation, we found that our gene module-based approach can prioritize causal genes even when single gene associations are not detected.</w:t>
      </w:r>
      <w:r>
        <w:t xml:space="preserve"> </w:t>
      </w:r>
      <w:r>
        <w:t xml:space="preserve">We interpret these findings with an omnigenic perspective of</w:t>
      </w:r>
      <w:r>
        <w:t xml:space="preserve"> </w:t>
      </w:r>
      <w:r>
        <w:t xml:space="preserve">“</w:t>
      </w:r>
      <w:r>
        <w:t xml:space="preserve">core</w:t>
      </w:r>
      <w:r>
        <w:t xml:space="preserve">”</w:t>
      </w:r>
      <w:r>
        <w:t xml:space="preserve"> </w:t>
      </w:r>
      <w:r>
        <w:t xml:space="preserve">and</w:t>
      </w:r>
      <w:r>
        <w:t xml:space="preserve"> </w:t>
      </w:r>
      <w:r>
        <w:t xml:space="preserve">“</w:t>
      </w:r>
      <w:r>
        <w:t xml:space="preserve">peripheral</w:t>
      </w:r>
      <w:r>
        <w:t xml:space="preserve">”</w:t>
      </w:r>
      <w:r>
        <w:t xml:space="preserve"> </w:t>
      </w:r>
      <w:r>
        <w:t xml:space="preserve">genes, suggesting that the approach can identify genes that directly affect the trait with no mediated regulation of other genes, and thus prioritize alternative and potentially more attractive therapeutic targets.</w:t>
      </w:r>
      <w:r>
        <w:t xml:space="preserve"> </w:t>
      </w:r>
      <w:r>
        <w:t xml:space="preserve">Using our gene module perspective, we also integrated drug-induced transcriptional profiles, which allowed us to connect diseases, drugs, and cell types.</w:t>
      </w:r>
      <w:r>
        <w:t xml:space="preserve"> </w:t>
      </w:r>
      <w:r>
        <w:t xml:space="preserve">Furthermore, and beyond statistical prediction, we focused on a particular drug (niacin) and set of traits (cardiovascular diseases) to show that the approach connects disease-relevant transcriptional processes with known mechanisms of action.</w:t>
      </w:r>
      <w:r>
        <w:t xml:space="preserve"> </w:t>
      </w:r>
      <w:r>
        <w:t xml:space="preserve">This suggests that the conceptual approach may reveal the mechanisms of pharmacological effect of known or experimental drugs.</w:t>
      </w:r>
      <w:r>
        <w:t xml:space="preserve"> </w:t>
      </w:r>
      <w:r>
        <w:t xml:space="preserve">Finally, we found that the analysis of associations through latent representations provided reasonable groupings of diseases and traits affected by shared and distinct transcriptional mechanisms expressed in highly relevant tissues.</w:t>
      </w:r>
    </w:p>
    <w:p>
      <w:pPr>
        <w:pStyle w:val="BodyText"/>
      </w:pPr>
      <w:r>
        <w:t xml:space="preserve">In some cases, the features/LVs linked to phenotypes appear to be associated with specific cell types.</w:t>
      </w:r>
      <w:r>
        <w:t xml:space="preserve"> </w:t>
      </w:r>
      <w:r>
        <w:t xml:space="preserve">Associations with such cell type marker genes may reveal potentially causal cell types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 and these may capture pathways associated with a set of related complex diseases.</w:t>
      </w:r>
      <w:r>
        <w:t xml:space="preserve"> </w:t>
      </w:r>
      <w:r>
        <w:t xml:space="preserve">For example, LV136 is associated with cardiovascular disease and measures of corneal biomechanics, and expressed in fibroblasts, osteoblasts, pancreas, liver, and cardiomyocytes, among others.</w:t>
      </w:r>
      <w:r>
        <w:t xml:space="preserve"> </w:t>
      </w:r>
      <w:r>
        <w:t xml:space="preserve">Another example is LV844, expressed in whole blood samples and strongly associated with a range of autoimmune diseases.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t>
      </w:r>
      <w:r>
        <w:t xml:space="preserve">where the same cell types mediate molecularly related traits.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patterns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recount2, which was designed to analyze rare disorders but might not be the optimal latent representation for the wide range of complex diseases considered here.</w:t>
      </w:r>
      <w:r>
        <w:t xml:space="preserve"> </w:t>
      </w:r>
      <w:r>
        <w:t xml:space="preserve">Also, the underlying factorization method rests on linear combinations of variables, which could miss important and more complex co-expression patterns.</w:t>
      </w:r>
      <w:r>
        <w:t xml:space="preserve"> </w:t>
      </w:r>
      <w:r>
        <w:t xml:space="preserve">In addition, recount2, the training dataset used,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has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linkage disequilibrium (LD),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 to infer potential mechanisms of action.</w:t>
      </w:r>
      <w:r>
        <w:t xml:space="preserve"> </w:t>
      </w:r>
      <w:r>
        <w:t xml:space="preserve">Here we prioritized drugs for diseases with very different tissue etiologies, and a challenge of the approach is to select the most appropriate tissue model from TWAS to find reversed transcriptome patterns between genes and drug-induced perturbations.</w:t>
      </w:r>
      <w:r>
        <w:t xml:space="preserve"> </w:t>
      </w:r>
      <w:r>
        <w:t xml:space="preserve">We also demonstrated that clustering trees, introduced initially as a means to examine developmental processes in single-cell data, provide a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also plausible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sizes and qualities.</w:t>
      </w:r>
      <w:r>
        <w:t xml:space="preserve"> </w:t>
      </w:r>
      <w:r>
        <w:t xml:space="preserve">Although the potential issues derived from this data heterogeneity were addressed before performing cluster analysis of traits, data preprocessing steps are always challenging and might not avoid bias altogether.</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r>
        <w:t xml:space="preserve"> </w:t>
      </w:r>
      <w:r>
        <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builds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main text and ran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we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an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an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vailability"/>
      <w:r>
        <w:t xml:space="preserve">Code availability</w:t>
      </w:r>
      <w:bookmarkEnd w:id="77"/>
    </w:p>
    <w:p>
      <w:pPr>
        <w:pStyle w:val="FirstParagraph"/>
      </w:pPr>
      <w:r>
        <w:t xml:space="preserve">The code to reproduce all the analyses in this work is available in</w:t>
      </w:r>
      <w:r>
        <w:t xml:space="preserve"> </w:t>
      </w:r>
      <w:hyperlink r:id="rId78">
        <w:r>
          <w:rPr>
            <w:rStyle w:val="Hyperlink"/>
          </w:rPr>
          <w:t xml:space="preserve">https://github.com/greenelab/phenoplier</w:t>
        </w:r>
      </w:hyperlink>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w:t>
      </w:r>
      <w:r>
        <w:t xml:space="preserve"> </w:t>
      </w:r>
      <w:r>
        <w:t xml:space="preserve"> </w:t>
      </w:r>
    </w:p>
    <w:tbl>
      <w:tblPr>
        <w:tblStyle w:val="Table"/>
        <w:tblW w:type="pct" w:w="0.0"/>
        <w:tblLook w:firstRow="1"/>
        <w:tblCaption w:val="Table 2: Pathways aligned to LV60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656958"/>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656958"/>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8631712"/>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8631712"/>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917"/>
        <w:gridCol w:w="4168"/>
        <w:gridCol w:w="1250"/>
        <w:gridCol w:w="750"/>
        <w:gridCol w:w="83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26"/>
        <w:gridCol w:w="4900"/>
        <w:gridCol w:w="854"/>
        <w:gridCol w:w="512"/>
        <w:gridCol w:w="1025"/>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AUTOIMMUNE THYROID DISEASE</w:t>
            </w:r>
          </w:p>
        </w:tc>
        <w:tc>
          <w:p>
            <w:pPr>
              <w:pStyle w:val="Compact"/>
              <w:jc w:val="left"/>
            </w:pPr>
            <w:r>
              <w:t xml:space="preserve">0.76</w:t>
            </w:r>
          </w:p>
        </w:tc>
        <w:tc>
          <w:p>
            <w:pPr>
              <w:pStyle w:val="Compact"/>
              <w:jc w:val="left"/>
            </w:pPr>
            <w:r>
              <w:t xml:space="preserve">1.05e-01</w:t>
            </w:r>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r>
        <w:tc>
          <w:p>
            <w:pPr>
              <w:pStyle w:val="Compact"/>
              <w:jc w:val="left"/>
            </w:pPr>
            <w:r>
              <w:t xml:space="preserve">KEGG AUTOIMMUNE THYROID DISEASE</w:t>
            </w:r>
          </w:p>
        </w:tc>
        <w:tc>
          <w:p>
            <w:pPr>
              <w:pStyle w:val="Compact"/>
              <w:jc w:val="left"/>
            </w:pPr>
            <w:r>
              <w:t xml:space="preserve">0.78</w:t>
            </w:r>
          </w:p>
        </w:tc>
        <w:tc>
          <w:p>
            <w:pPr>
              <w:pStyle w:val="Compact"/>
              <w:jc w:val="left"/>
            </w:pPr>
            <w:r>
              <w:t xml:space="preserve">8.43e-02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140"/>
        <w:gridCol w:w="675"/>
        <w:gridCol w:w="405"/>
        <w:gridCol w:w="1260"/>
        <w:gridCol w:w="14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17"/>
        <w:gridCol w:w="4830"/>
        <w:gridCol w:w="842"/>
        <w:gridCol w:w="505"/>
        <w:gridCol w:w="112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5000.0"/>
        <w:tblLook w:firstRow="1"/>
        <w:tblCaption w:val="Table 41: Significant trait associations of LV136 in PhenomeXcan.  "/>
      </w:tblPr>
      <w:tblGrid>
        <w:gridCol w:w="3612"/>
        <w:gridCol w:w="1042"/>
        <w:gridCol w:w="625"/>
        <w:gridCol w:w="1945"/>
        <w:gridCol w:w="69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w:t>
      </w:r>
      <w:r>
        <w:t xml:space="preserve"> </w:t>
      </w:r>
      <w:r>
        <w:t xml:space="preserve"> </w:t>
      </w:r>
    </w:p>
    <w:tbl>
      <w:tblPr>
        <w:tblStyle w:val="Table"/>
        <w:tblW w:type="pct" w:w="0.0"/>
        <w:tblLook w:firstRow="1"/>
        <w:tblCaption w:val="Table 43: Pathways aligned to LV9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Trait associations of LV93 in eMERGE.</w:t>
      </w:r>
      <w:r>
        <w:t xml:space="preserve"> </w:t>
      </w:r>
      <w:r>
        <w:t xml:space="preserve"> </w:t>
      </w:r>
    </w:p>
    <w:tbl>
      <w:tblPr>
        <w:tblStyle w:val="Table"/>
        <w:tblW w:type="pct" w:w="0.0"/>
        <w:tblLook w:firstRow="1"/>
        <w:tblCaption w:val="Table 45: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w:t>
      </w:r>
      <w:r>
        <w:t xml:space="preserve"> </w:t>
      </w:r>
      <w:r>
        <w:t xml:space="preserve"> </w:t>
      </w:r>
    </w:p>
    <w:tbl>
      <w:tblPr>
        <w:tblStyle w:val="Table"/>
        <w:tblW w:type="pct" w:w="0.0"/>
        <w:tblLook w:firstRow="1"/>
        <w:tblCaption w:val="Table 46: Pathways aligned to LV206.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Trait associations of LV206 in eMERGE.</w:t>
      </w:r>
      <w:r>
        <w:t xml:space="preserve"> </w:t>
      </w:r>
      <w:r>
        <w:t xml:space="preserve"> </w:t>
      </w:r>
    </w:p>
    <w:tbl>
      <w:tblPr>
        <w:tblStyle w:val="Table"/>
        <w:tblW w:type="pct" w:w="0.0"/>
        <w:tblLook w:firstRow="1"/>
        <w:tblCaption w:val="Table 48: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w:t>
      </w:r>
      <w:r>
        <w:t xml:space="preserve"> </w:t>
      </w:r>
      <w:r>
        <w:t xml:space="preserve"> </w:t>
      </w:r>
    </w:p>
    <w:tbl>
      <w:tblPr>
        <w:tblStyle w:val="Table"/>
        <w:tblW w:type="pct" w:w="0.0"/>
        <w:tblLook w:firstRow="1"/>
        <w:tblCaption w:val="Table 49: Pathways aligned to LV260.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w:t>
      </w:r>
      <w:r>
        <w:t xml:space="preserve"> </w:t>
      </w:r>
      <w:r>
        <w:t xml:space="preserve"> </w:t>
      </w:r>
    </w:p>
    <w:tbl>
      <w:tblPr>
        <w:tblStyle w:val="Table"/>
        <w:tblW w:type="pct" w:w="0.0"/>
        <w:tblLook w:firstRow="1"/>
        <w:tblCaption w:val="Table 52: Pathways aligned to LV21.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w:t>
      </w:r>
      <w:r>
        <w:t xml:space="preserve"> </w:t>
      </w:r>
      <w:r>
        <w:t xml:space="preserve"> </w:t>
      </w:r>
    </w:p>
    <w:tbl>
      <w:tblPr>
        <w:tblStyle w:val="Table"/>
        <w:tblW w:type="pct" w:w="0.0"/>
        <w:tblLook w:firstRow="1"/>
        <w:tblCaption w:val="Table 55: Pathways aligned to LV5.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4999.999999999999"/>
        <w:tblLook w:firstRow="1"/>
        <w:tblCaption w:val="Table 56: Significant trait associations of LV5 in PhenomeXcan.  "/>
      </w:tblPr>
      <w:tblGrid>
        <w:gridCol w:w="3991"/>
        <w:gridCol w:w="950"/>
        <w:gridCol w:w="570"/>
        <w:gridCol w:w="1774"/>
        <w:gridCol w:w="63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w:t>
      </w:r>
      <w:r>
        <w:t xml:space="preserve"> </w:t>
      </w:r>
      <w:r>
        <w:t xml:space="preserve"> </w:t>
      </w:r>
    </w:p>
    <w:tbl>
      <w:tblPr>
        <w:tblStyle w:val="Table"/>
        <w:tblW w:type="pct" w:w="0.0"/>
        <w:tblLook w:firstRow="1"/>
        <w:tblCaption w:val="Table 58: Pathways aligned to LV434.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16c23607848b35d610632b72c5e7211a09c37604"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16c23607848b35d610632b72c5e7211a09c37604/"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16c23607848b35d610632b72c5e7211a09c37604"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16c23607848b35d610632b72c5e7211a09c37604/"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2021-07-29T13:45:30Z</dcterms:created>
  <dcterms:modified xsi:type="dcterms:W3CDTF">2021-07-29T13:45:30Z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