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TankerTrack — Loopholes &amp; Design Flaws</w:t>
      </w:r>
    </w:p>
    <w:p>
      <w:r>
        <w:t xml:space="preserve">An honest audit of where the current design can be gamed, broken, or exploited — across the two HTML clients, the API, the schema, and the architecture. Each item: </w:t>
      </w:r>
      <w:r>
        <w:rPr>
          <w:b/>
        </w:rPr>
        <w:t xml:space="preserve">what it is · how it's exploited · the fix</w:t>
      </w:r>
      <w:r>
        <w:t xml:space="preserve">. Ordered by severity.</w:t>
      </w:r>
    </w:p>
    <w:p>
      <w:r>
        <w:t xml:space="preserve">Scope note: several items are "prototype vs. product" gaps — the HTML clients are stand-ins and deliberately lighter than the API. Those are still listed, because shipping the prototype as-is would carry them.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Severity summary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firstRow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234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Flaw</w:t>
            </w:r>
          </w:p>
        </w:tc>
        <w:tc>
          <w:tcPr>
            <w:tcW w:w="234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Layer</w:t>
            </w:r>
          </w:p>
        </w:tc>
        <w:tc>
          <w:tcPr>
            <w:tcW w:w="234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Severity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1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Clients have no authentication at all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Prototype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🔴 Critical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All data in plaintext localStorage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Prototype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🔴 Critical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Expenses accepted on already-completed trips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API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🔴 Critical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Self-reported odometer / weight / diesel — no ground truth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Design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🔴 Critical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Sequential, guessable IDs (TS-, MR-, EX-)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API/DB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🟠 High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Device binding uses a client-supplied fingerprint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API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🟠 High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7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No approval gate before driver payout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Design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🟠 High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Trip-expense receipts optional and not deduped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API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🟠 High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9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No idempotency — double-submits duplicate rows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Both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🟠 High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10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Money is float on the client, paise on the server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Both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🟠 High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11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Cross-tab store trusted without validation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Prototype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🟡 Medium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12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Backend + migration 005 written but never run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API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🟡 Medium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13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No transport security assumed locally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Infra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🟡 Medium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14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Inactivity/geofence rules are still rule-based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Design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🟡 Medium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15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No rate limiting on the (future) GPS ingest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Design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🟡 Medium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16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Bill blobs are session-only object URLs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Prototype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🟢 Low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17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Dead driver code shipped in the manager site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Prototype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🟢 Low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🔴 Critical</w:t>
      </w:r>
    </w:p>
    <w:p>
      <w:pPr>
        <w:pStyle w:val="Heading2"/>
      </w:pPr>
      <w:r>
        <w:t xml:space="preserve">1. The clients have no authentication</w:t>
      </w:r>
    </w:p>
    <w:p>
      <w:r>
        <w:rPr>
          <w:b/>
        </w:rPr>
        <w:t xml:space="preserve">What:</w:t>
      </w:r>
      <w:r>
        <w:t xml:space="preserve"> </w:t>
      </w:r>
      <w:r>
        <w:rPr>
          <w:rFonts w:ascii="Consolas" w:hAnsi="Consolas"/>
          <w:shd w:val="clear" w:color="auto" w:fill="EFEFEF"/>
        </w:rPr>
        <w:t xml:space="preserve">tms-app.html</w:t>
      </w:r>
      <w:r>
        <w:t xml:space="preserve"> and </w:t>
      </w:r>
      <w:r>
        <w:rPr>
          <w:rFonts w:ascii="Consolas" w:hAnsi="Consolas"/>
          <w:shd w:val="clear" w:color="auto" w:fill="EFEFEF"/>
        </w:rPr>
        <w:t xml:space="preserve">driver.html</w:t>
      </w:r>
      <w:r>
        <w:t xml:space="preserve"> have no login. The driver "identity" is whatever trip they open; the manager console is wide open. Anyone who loads the page is a full manager or any driver. </w:t>
      </w:r>
      <w:r>
        <w:rPr>
          <w:b/>
        </w:rPr>
        <w:t xml:space="preserve">Exploit:</w:t>
      </w:r>
      <w:r>
        <w:t xml:space="preserve"> open the URL → schedule trips, alter costs, complete anyone's trip, read every driver's PII. The driver app trusts a typed Trip ID as the only gate. </w:t>
      </w:r>
      <w:r>
        <w:rPr>
          <w:b/>
        </w:rPr>
        <w:t xml:space="preserve">Fix:</w:t>
      </w:r>
      <w:r>
        <w:t xml:space="preserve"> the API already has JWT + RBAC + device binding. Repoint the clients at it (see LOCAL-DEPLOYMENT.md) and require login before any action. No client action should be possible without a valid access token whose role permits it. The driver may only open trips where </w:t>
      </w:r>
      <w:r>
        <w:rPr>
          <w:rFonts w:ascii="Consolas" w:hAnsi="Consolas"/>
          <w:shd w:val="clear" w:color="auto" w:fill="EFEFEF"/>
        </w:rPr>
        <w:t xml:space="preserve">driver_id = self</w:t>
      </w:r>
      <w:r>
        <w:t xml:space="preserve">.</w:t>
      </w:r>
    </w:p>
    <w:p>
      <w:pPr>
        <w:pStyle w:val="Heading2"/>
      </w:pPr>
      <w:r>
        <w:t xml:space="preserve">2. All data sits in plaintext localStorage</w:t>
      </w:r>
    </w:p>
    <w:p>
      <w:r>
        <w:rPr>
          <w:b/>
        </w:rPr>
        <w:t xml:space="preserve">What:</w:t>
      </w:r>
      <w:r>
        <w:t xml:space="preserve"> the shared store is </w:t>
      </w:r>
      <w:r>
        <w:rPr>
          <w:rFonts w:ascii="Consolas" w:hAnsi="Consolas"/>
          <w:shd w:val="clear" w:color="auto" w:fill="EFEFEF"/>
        </w:rPr>
        <w:t xml:space="preserve">localStorage['tankertrack.v1']</w:t>
      </w:r>
      <w:r>
        <w:t xml:space="preserve"> — trips, driver phone numbers, expenses, everything, unencrypted, readable by any script on the origin. </w:t>
      </w:r>
      <w:r>
        <w:rPr>
          <w:b/>
        </w:rPr>
        <w:t xml:space="preserve">Exploit:</w:t>
      </w:r>
      <w:r>
        <w:t xml:space="preserve"> a single XSS (or a malicious browser extension) reads or rewrites the entire fleet's data. There is no integrity check on hydrate, so injected data is accepted verbatim by both clients. </w:t>
      </w:r>
      <w:r>
        <w:rPr>
          <w:b/>
        </w:rPr>
        <w:t xml:space="preserve">Fix:</w:t>
      </w:r>
      <w:r>
        <w:t xml:space="preserve"> localStorage is a prototype crutch — the real store is the API/DB with data encrypted at rest and access gated by token. Until then, treat the prototype as demo-only and never load real driver PII into it. Add a strict CSP and audit every </w:t>
      </w:r>
      <w:r>
        <w:rPr>
          <w:rFonts w:ascii="Consolas" w:hAnsi="Consolas"/>
          <w:shd w:val="clear" w:color="auto" w:fill="EFEFEF"/>
        </w:rPr>
        <w:t xml:space="preserve">innerHTML</w:t>
      </w:r>
      <w:r>
        <w:t xml:space="preserve"> sink (see #11).</w:t>
      </w:r>
    </w:p>
    <w:p>
      <w:pPr>
        <w:pStyle w:val="Heading2"/>
      </w:pPr>
      <w:r>
        <w:t xml:space="preserve">3. Expenses can be added to a completed trip (API)</w:t>
      </w:r>
    </w:p>
    <w:p>
      <w:r>
        <w:rPr>
          <w:b/>
        </w:rPr>
        <w:t xml:space="preserve">What:</w:t>
      </w:r>
      <w:r>
        <w:t xml:space="preserve"> </w:t>
      </w:r>
      <w:r>
        <w:rPr>
          <w:rFonts w:ascii="Consolas" w:hAnsi="Consolas"/>
          <w:shd w:val="clear" w:color="auto" w:fill="EFEFEF"/>
        </w:rPr>
        <w:t xml:space="preserve">TripsService.logExpense</w:t>
      </w:r>
      <w:r>
        <w:t xml:space="preserve"> only blocks </w:t>
      </w:r>
      <w:r>
        <w:rPr>
          <w:rFonts w:ascii="Consolas" w:hAnsi="Consolas"/>
          <w:shd w:val="clear" w:color="auto" w:fill="EFEFEF"/>
        </w:rPr>
        <w:t xml:space="preserve">status === 'cancelled'</w:t>
      </w:r>
      <w:r>
        <w:t xml:space="preserve">. A </w:t>
      </w:r>
      <w:r>
        <w:rPr>
          <w:b/>
        </w:rPr>
        <w:t xml:space="preserve">completed</w:t>
      </w:r>
      <w:r>
        <w:t xml:space="preserve"> trip still accepts new expense lines. </w:t>
      </w:r>
      <w:r>
        <w:rPr>
          <w:b/>
        </w:rPr>
        <w:t xml:space="preserve">Exploit:</w:t>
      </w:r>
      <w:r>
        <w:t xml:space="preserve"> a driver (or a stolen driver token) completes a trip, sees the settled balance, then posts more expenses after the fact to inflate the payout — after the manager has already reviewed it. </w:t>
      </w:r>
      <w:r>
        <w:rPr>
          <w:b/>
        </w:rPr>
        <w:t xml:space="preserve">Fix:</w:t>
      </w:r>
      <w:r>
        <w:t xml:space="preserve"> reject expenses unless the trip is </w:t>
      </w:r>
      <w:r>
        <w:rPr>
          <w:rFonts w:ascii="Consolas" w:hAnsi="Consolas"/>
          <w:shd w:val="clear" w:color="auto" w:fill="EFEFEF"/>
        </w:rPr>
        <w:t xml:space="preserve">active</w:t>
      </w:r>
      <w:r>
        <w:t xml:space="preserve"> (or </w:t>
      </w:r>
      <w:r>
        <w:rPr>
          <w:rFonts w:ascii="Consolas" w:hAnsi="Consolas"/>
          <w:shd w:val="clear" w:color="auto" w:fill="EFEFEF"/>
        </w:rPr>
        <w:t xml:space="preserve">scheduled</w:t>
      </w:r>
      <w:r>
        <w:t xml:space="preserve">). Once </w:t>
      </w:r>
      <w:r>
        <w:rPr>
          <w:rFonts w:ascii="Consolas" w:hAnsi="Consolas"/>
          <w:shd w:val="clear" w:color="auto" w:fill="EFEFEF"/>
        </w:rPr>
        <w:t xml:space="preserve">arrival_at</w:t>
      </w:r>
      <w:r>
        <w:t xml:space="preserve"> is set, the sheet is closed. Add a DB-level guard too: a trigger on </w:t>
      </w:r>
      <w:r>
        <w:rPr>
          <w:rFonts w:ascii="Consolas" w:hAnsi="Consolas"/>
          <w:shd w:val="clear" w:color="auto" w:fill="EFEFEF"/>
        </w:rPr>
        <w:t xml:space="preserve">trip_expenses</w:t>
      </w:r>
      <w:r>
        <w:t xml:space="preserve"> that rejects inserts when the parent trip is </w:t>
      </w:r>
      <w:r>
        <w:rPr>
          <w:rFonts w:ascii="Consolas" w:hAnsi="Consolas"/>
          <w:shd w:val="clear" w:color="auto" w:fill="EFEFEF"/>
        </w:rPr>
        <w:t xml:space="preserve">completed</w:t>
      </w:r>
      <w:r>
        <w:t xml:space="preserve">/ </w:t>
      </w:r>
      <w:r>
        <w:rPr>
          <w:rFonts w:ascii="Consolas" w:hAnsi="Consolas"/>
          <w:shd w:val="clear" w:color="auto" w:fill="EFEFEF"/>
        </w:rPr>
        <w:t xml:space="preserve">cancelled</w:t>
      </w:r>
      <w:r>
        <w:t xml:space="preserve">, so it can't be bypassed. This is a real code bug, not just a policy gap — fix it in </w:t>
      </w:r>
      <w:r>
        <w:rPr>
          <w:rFonts w:ascii="Consolas" w:hAnsi="Consolas"/>
          <w:shd w:val="clear" w:color="auto" w:fill="EFEFEF"/>
        </w:rPr>
        <w:t xml:space="preserve">logExpense</w:t>
      </w:r>
      <w:r>
        <w:t xml:space="preserve"> now.</w:t>
      </w:r>
    </w:p>
    <w:p>
      <w:pPr>
        <w:pStyle w:val="Heading2"/>
      </w:pPr>
      <w:r>
        <w:t xml:space="preserve">4. Odometer, weight and diesel are self-reported with no ground truth</w:t>
      </w:r>
    </w:p>
    <w:p>
      <w:r>
        <w:rPr>
          <w:b/>
        </w:rPr>
        <w:t xml:space="preserve">What:</w:t>
      </w:r>
      <w:r>
        <w:t xml:space="preserve"> distance, delivered quantity, and mileage all come from numbers the driver types. The only check is that the odometer doesn't go *backwards*. </w:t>
      </w:r>
      <w:r>
        <w:rPr>
          <w:b/>
        </w:rPr>
        <w:t xml:space="preserve">Exploit: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Inflate closing odometer → overstate distance → hide personal use of the</w:t>
      </w:r>
    </w:p>
    <w:p>
      <w:r>
        <w:t xml:space="preserve">truck, or justify more fuel.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Understate diesel litres → flatter mileage → mask pilferage.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Manipulate departure/arrival weights → hide short-delivery of ethanol.</w:t>
      </w:r>
    </w:p>
    <w:p>
      <w:r>
        <w:rPr>
          <w:b/>
        </w:rPr>
        <w:t xml:space="preserve">Fix:</w:t>
      </w:r>
      <w:r>
        <w:t xml:space="preserve"> cross-check against independent sources: GPS-derived distance (the geofence/ingest phase) vs. odometer delta; fuel-card litres vs. driver-entered diesel; weighbridge integration vs. typed weights. Flag divergence beyond a tolerance on the report (the ±2% weight-variance flag is the pattern to extend). Until GPS lands, this is an accepted, documented risk — say so to the business.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🟠 High</w:t>
      </w:r>
    </w:p>
    <w:p>
      <w:pPr>
        <w:pStyle w:val="Heading2"/>
      </w:pPr>
      <w:r>
        <w:t xml:space="preserve">5. Sequential, guessable identifiers</w:t>
      </w:r>
    </w:p>
    <w:p>
      <w:r>
        <w:rPr>
          <w:b/>
        </w:rPr>
        <w:t xml:space="preserve">What:</w:t>
      </w:r>
      <w:r>
        <w:t xml:space="preserve"> </w:t>
      </w:r>
      <w:r>
        <w:rPr>
          <w:rFonts w:ascii="Consolas" w:hAnsi="Consolas"/>
          <w:shd w:val="clear" w:color="auto" w:fill="EFEFEF"/>
        </w:rPr>
        <w:t xml:space="preserve">TS-4821</w:t>
      </w:r>
      <w:r>
        <w:t xml:space="preserve">, </w:t>
      </w:r>
      <w:r>
        <w:rPr>
          <w:rFonts w:ascii="Consolas" w:hAnsi="Consolas"/>
          <w:shd w:val="clear" w:color="auto" w:fill="EFEFEF"/>
        </w:rPr>
        <w:t xml:space="preserve">MR-1017</w:t>
      </w:r>
      <w:r>
        <w:t xml:space="preserve">, </w:t>
      </w:r>
      <w:r>
        <w:rPr>
          <w:rFonts w:ascii="Consolas" w:hAnsi="Consolas"/>
          <w:shd w:val="clear" w:color="auto" w:fill="EFEFEF"/>
        </w:rPr>
        <w:t xml:space="preserve">EX-1</w:t>
      </w:r>
      <w:r>
        <w:t xml:space="preserve"> increment predictably. </w:t>
      </w:r>
      <w:r>
        <w:rPr>
          <w:b/>
        </w:rPr>
        <w:t xml:space="preserve">Exploit:</w:t>
      </w:r>
      <w:r>
        <w:t xml:space="preserve"> even though access is scoped, sequential IDs leak fleet volume (how many trips/bills exist) and let an attacker enumerate/probe systematically. A leaked Trip ID is trivially incremented to guess neighbours. </w:t>
      </w:r>
      <w:r>
        <w:rPr>
          <w:b/>
        </w:rPr>
        <w:t xml:space="preserve">Fix:</w:t>
      </w:r>
      <w:r>
        <w:t xml:space="preserve"> keep the human-friendly ref for display, but make the </w:t>
      </w:r>
      <w:r>
        <w:rPr>
          <w:b/>
        </w:rPr>
        <w:t xml:space="preserve">API address trips by their UUID</w:t>
      </w:r>
      <w:r>
        <w:t xml:space="preserve">, not the ref. Never let the ref be the only thing gating access (it isn't today — scoping helps — but don't rely on ID secrecy).</w:t>
      </w:r>
    </w:p>
    <w:p>
      <w:pPr>
        <w:pStyle w:val="Heading2"/>
      </w:pPr>
      <w:r>
        <w:t xml:space="preserve">6. Device binding trusts a client-supplied fingerprint</w:t>
      </w:r>
    </w:p>
    <w:p>
      <w:r>
        <w:rPr>
          <w:b/>
        </w:rPr>
        <w:t xml:space="preserve">What:</w:t>
      </w:r>
      <w:r>
        <w:t xml:space="preserve"> login takes a </w:t>
      </w:r>
      <w:r>
        <w:rPr>
          <w:rFonts w:ascii="Consolas" w:hAnsi="Consolas"/>
          <w:shd w:val="clear" w:color="auto" w:fill="EFEFEF"/>
        </w:rPr>
        <w:t xml:space="preserve">deviceFingerprint</w:t>
      </w:r>
      <w:r>
        <w:t xml:space="preserve"> string from the client and binds the session to it. </w:t>
      </w:r>
      <w:r>
        <w:rPr>
          <w:b/>
        </w:rPr>
        <w:t xml:space="preserve">Exploit:</w:t>
      </w:r>
      <w:r>
        <w:t xml:space="preserve"> a thief with a stolen refresh token can send the same fingerprint string and impersonate the device; the fingerprint is not attested. </w:t>
      </w:r>
      <w:r>
        <w:rPr>
          <w:b/>
        </w:rPr>
        <w:t xml:space="preserve">Fix:</w:t>
      </w:r>
      <w:r>
        <w:t xml:space="preserve"> derive/attest the device identity server-side where possible (platform attestation: Play Integrity / DeviceCheck), or at minimum bind additional signals (IP range, TLS client characteristics) and alert on change. Keep remote revoke (already present) as the backstop.</w:t>
      </w:r>
    </w:p>
    <w:p>
      <w:pPr>
        <w:pStyle w:val="Heading2"/>
      </w:pPr>
      <w:r>
        <w:t xml:space="preserve">7. No approval gate before payout</w:t>
      </w:r>
    </w:p>
    <w:p>
      <w:r>
        <w:rPr>
          <w:b/>
        </w:rPr>
        <w:t xml:space="preserve">What:</w:t>
      </w:r>
      <w:r>
        <w:t xml:space="preserve"> the settlement balance ("pay driver ₹4,450") is computed and presented as final the moment the driver ends the trip. The three signature slots (Vehicle Incharge / Accounts Manager / GM) are decorative. </w:t>
      </w:r>
      <w:r>
        <w:rPr>
          <w:b/>
        </w:rPr>
        <w:t xml:space="preserve">Exploit:</w:t>
      </w:r>
      <w:r>
        <w:t xml:space="preserve"> without a real approve/reject step, an inflated or mistaken expense sheet flows straight to "amount to pay" with no human sign-off recorded. </w:t>
      </w:r>
      <w:r>
        <w:rPr>
          <w:b/>
        </w:rPr>
        <w:t xml:space="preserve">Fix:</w:t>
      </w:r>
      <w:r>
        <w:t xml:space="preserve"> add an approval state machine: </w:t>
      </w:r>
      <w:r>
        <w:rPr>
          <w:rFonts w:ascii="Consolas" w:hAnsi="Consolas"/>
          <w:shd w:val="clear" w:color="auto" w:fill="EFEFEF"/>
        </w:rPr>
        <w:t xml:space="preserve">submitted → approved/queried → settled</w:t>
      </w:r>
      <w:r>
        <w:t xml:space="preserve">, each transition attributed in the audit log, each signature a real authenticated action. Payout references the *approved* total, not the raw one.</w:t>
      </w:r>
    </w:p>
    <w:p>
      <w:pPr>
        <w:pStyle w:val="Heading2"/>
      </w:pPr>
      <w:r>
        <w:t xml:space="preserve">8. Trip-expense receipts are optional and not deduped</w:t>
      </w:r>
    </w:p>
    <w:p>
      <w:r>
        <w:rPr>
          <w:b/>
        </w:rPr>
        <w:t xml:space="preserve">What:</w:t>
      </w:r>
      <w:r>
        <w:t xml:space="preserve"> unlike maintenance bills (</w:t>
      </w:r>
      <w:r>
        <w:rPr>
          <w:rFonts w:ascii="Consolas" w:hAnsi="Consolas"/>
          <w:shd w:val="clear" w:color="auto" w:fill="EFEFEF"/>
        </w:rPr>
        <w:t xml:space="preserve">NOT NULL</w:t>
      </w:r>
      <w:r>
        <w:t xml:space="preserve">, checksum-deduped), trip expenses can have no receipt, and the same receipt image can back many expenses. </w:t>
      </w:r>
      <w:r>
        <w:rPr>
          <w:b/>
        </w:rPr>
        <w:t xml:space="preserve">Exploit:</w:t>
      </w:r>
      <w:r>
        <w:t xml:space="preserve"> claim cash expenses with no evidence; or photograph one ₹1,800 parking slip and attach it to three trips. </w:t>
      </w:r>
      <w:r>
        <w:rPr>
          <w:b/>
        </w:rPr>
        <w:t xml:space="preserve">Fix:</w:t>
      </w:r>
      <w:r>
        <w:t xml:space="preserve"> decide a policy per head (e.g. Parking/RTO require a receipt; Food up to a cap may not). Checksum-dedupe expense receipts the way maintenance bills are, and flag a receipt reused across trips.</w:t>
      </w:r>
    </w:p>
    <w:p>
      <w:pPr>
        <w:pStyle w:val="Heading2"/>
      </w:pPr>
      <w:r>
        <w:t xml:space="preserve">9. No idempotency — double-submit creates duplicates</w:t>
      </w:r>
    </w:p>
    <w:p>
      <w:r>
        <w:rPr>
          <w:b/>
        </w:rPr>
        <w:t xml:space="preserve">What:</w:t>
      </w:r>
      <w:r>
        <w:t xml:space="preserve"> neither client nor API carries an idempotency key. A double-tap or a retried request after a flaky connection logs the stop/expense twice. </w:t>
      </w:r>
      <w:r>
        <w:rPr>
          <w:b/>
        </w:rPr>
        <w:t xml:space="preserve">Exploit:</w:t>
      </w:r>
      <w:r>
        <w:t xml:space="preserve"> accidental or deliberate duplicate expense lines inflate the total; duplicate stops distort the report. </w:t>
      </w:r>
      <w:r>
        <w:rPr>
          <w:b/>
        </w:rPr>
        <w:t xml:space="preserve">Fix:</w:t>
      </w:r>
      <w:r>
        <w:t xml:space="preserve"> client generates a UUID per action; the API upserts on it. Essential before the offline queue ships (a replay must not double-post) — it's already called out in the architecture doc, just not implemented.</w:t>
      </w:r>
    </w:p>
    <w:p>
      <w:pPr>
        <w:pStyle w:val="Heading2"/>
      </w:pPr>
      <w:r>
        <w:t xml:space="preserve">10. Two different money models</w:t>
      </w:r>
    </w:p>
    <w:p>
      <w:r>
        <w:rPr>
          <w:b/>
        </w:rPr>
        <w:t xml:space="preserve">What:</w:t>
      </w:r>
      <w:r>
        <w:t xml:space="preserve"> the API/DB use </w:t>
      </w:r>
      <w:r>
        <w:rPr>
          <w:rFonts w:ascii="Consolas" w:hAnsi="Consolas"/>
          <w:shd w:val="clear" w:color="auto" w:fill="EFEFEF"/>
        </w:rPr>
        <w:t xml:space="preserve">bigint</w:t>
      </w:r>
      <w:r>
        <w:t xml:space="preserve"> paise with generated totals (correct). The HTML clients compute money in floating-point rupees. </w:t>
      </w:r>
      <w:r>
        <w:rPr>
          <w:b/>
        </w:rPr>
        <w:t xml:space="preserve">Exploit:</w:t>
      </w:r>
      <w:r>
        <w:t xml:space="preserve"> rounding drift between what the driver/manager see and what the server settles; reconciliation disputes. </w:t>
      </w:r>
      <w:r>
        <w:rPr>
          <w:b/>
        </w:rPr>
        <w:t xml:space="preserve">Fix:</w:t>
      </w:r>
      <w:r>
        <w:t xml:space="preserve"> when the clients move onto the API, adopt paise end-to-end and let the server be the single source of the total. Never round on the client.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🟡 Medium</w:t>
      </w:r>
    </w:p>
    <w:p>
      <w:pPr>
        <w:pStyle w:val="Heading2"/>
      </w:pPr>
      <w:r>
        <w:t xml:space="preserve">11. Cross-tab store is trusted blindly</w:t>
      </w:r>
    </w:p>
    <w:p>
      <w:r>
        <w:rPr>
          <w:b/>
        </w:rPr>
        <w:t xml:space="preserve">What:</w:t>
      </w:r>
      <w:r>
        <w:t xml:space="preserve"> </w:t>
      </w:r>
      <w:r>
        <w:rPr>
          <w:rFonts w:ascii="Consolas" w:hAnsi="Consolas"/>
          <w:shd w:val="clear" w:color="auto" w:fill="EFEFEF"/>
        </w:rPr>
        <w:t xml:space="preserve">TankerStore.onExternalChange</w:t>
      </w:r>
      <w:r>
        <w:t xml:space="preserve"> hydrates whatever arrives in the </w:t>
      </w:r>
      <w:r>
        <w:rPr>
          <w:rFonts w:ascii="Consolas" w:hAnsi="Consolas"/>
          <w:shd w:val="clear" w:color="auto" w:fill="EFEFEF"/>
        </w:rPr>
        <w:t xml:space="preserve">storage</w:t>
      </w:r>
      <w:r>
        <w:t xml:space="preserve"> event with no validation, and both clients build </w:t>
      </w:r>
      <w:r>
        <w:rPr>
          <w:rFonts w:ascii="Consolas" w:hAnsi="Consolas"/>
          <w:shd w:val="clear" w:color="auto" w:fill="EFEFEF"/>
        </w:rPr>
        <w:t xml:space="preserve">innerHTML</w:t>
      </w:r>
      <w:r>
        <w:t xml:space="preserve"> from stored strings. </w:t>
      </w:r>
      <w:r>
        <w:rPr>
          <w:b/>
        </w:rPr>
        <w:t xml:space="preserve">Exploit:</w:t>
      </w:r>
      <w:r>
        <w:t xml:space="preserve"> anything that can write localStorage (XSS, extension) drives both clients; a missed </w:t>
      </w:r>
      <w:r>
        <w:rPr>
          <w:rFonts w:ascii="Consolas" w:hAnsi="Consolas"/>
          <w:shd w:val="clear" w:color="auto" w:fill="EFEFEF"/>
        </w:rPr>
        <w:t xml:space="preserve">esc()</w:t>
      </w:r>
      <w:r>
        <w:t xml:space="preserve"> anywhere becomes stored-XSS. </w:t>
      </w:r>
      <w:r>
        <w:rPr>
          <w:b/>
        </w:rPr>
        <w:t xml:space="preserve">Fix:</w:t>
      </w:r>
      <w:r>
        <w:t xml:space="preserve"> validate/shape data on hydrate; add a CSP; audit every </w:t>
      </w:r>
      <w:r>
        <w:rPr>
          <w:rFonts w:ascii="Consolas" w:hAnsi="Consolas"/>
          <w:shd w:val="clear" w:color="auto" w:fill="EFEFEF"/>
        </w:rPr>
        <w:t xml:space="preserve">innerHTML</w:t>
      </w:r>
      <w:r>
        <w:t xml:space="preserve">. Moot once the store is the API, but relevant while it's localStorage.</w:t>
      </w:r>
    </w:p>
    <w:p>
      <w:pPr>
        <w:pStyle w:val="Heading2"/>
      </w:pPr>
      <w:r>
        <w:t xml:space="preserve">12. The backend and migration 005 have never been run</w:t>
      </w:r>
    </w:p>
    <w:p>
      <w:r>
        <w:rPr>
          <w:b/>
        </w:rPr>
        <w:t xml:space="preserve">What:</w:t>
      </w:r>
      <w:r>
        <w:t xml:space="preserve"> no Node on the build machine, so ~20 API files were never compiled and migration </w:t>
      </w:r>
      <w:r>
        <w:rPr>
          <w:rFonts w:ascii="Consolas" w:hAnsi="Consolas"/>
          <w:shd w:val="clear" w:color="auto" w:fill="EFEFEF"/>
        </w:rPr>
        <w:t xml:space="preserve">005</w:t>
      </w:r>
      <w:r>
        <w:t xml:space="preserve"> never executed (app-control blocked </w:t>
      </w:r>
      <w:r>
        <w:rPr>
          <w:rFonts w:ascii="Consolas" w:hAnsi="Consolas"/>
          <w:shd w:val="clear" w:color="auto" w:fill="EFEFEF"/>
        </w:rPr>
        <w:t xml:space="preserve">psql</w:t>
      </w:r>
      <w:r>
        <w:t xml:space="preserve">). </w:t>
      </w:r>
      <w:r>
        <w:rPr>
          <w:b/>
        </w:rPr>
        <w:t xml:space="preserve">Exploit:</w:t>
      </w:r>
      <w:r>
        <w:t xml:space="preserve"> unknown runtime/type bugs; a broken migration only discovered on first real deploy. </w:t>
      </w:r>
      <w:r>
        <w:rPr>
          <w:b/>
        </w:rPr>
        <w:t xml:space="preserve">Fix:</w:t>
      </w:r>
      <w:r>
        <w:t xml:space="preserve"> </w:t>
      </w:r>
      <w:r>
        <w:rPr>
          <w:rFonts w:ascii="Consolas" w:hAnsi="Consolas"/>
          <w:shd w:val="clear" w:color="auto" w:fill="EFEFEF"/>
        </w:rPr>
        <w:t xml:space="preserve">docker compose up</w:t>
      </w:r>
      <w:r>
        <w:t xml:space="preserve"> (or Node locally) → </w:t>
      </w:r>
      <w:r>
        <w:rPr>
          <w:rFonts w:ascii="Consolas" w:hAnsi="Consolas"/>
          <w:shd w:val="clear" w:color="auto" w:fill="EFEFEF"/>
        </w:rPr>
        <w:t xml:space="preserve">npm run typecheck</w:t>
      </w:r>
      <w:r>
        <w:t xml:space="preserve">, run the API, and apply/verify </w:t>
      </w:r>
      <w:r>
        <w:rPr>
          <w:rFonts w:ascii="Consolas" w:hAnsi="Consolas"/>
          <w:shd w:val="clear" w:color="auto" w:fill="EFEFEF"/>
        </w:rPr>
        <w:t xml:space="preserve">005</w:t>
      </w:r>
      <w:r>
        <w:t xml:space="preserve"> with </w:t>
      </w:r>
      <w:r>
        <w:rPr>
          <w:rFonts w:ascii="Consolas" w:hAnsi="Consolas"/>
          <w:shd w:val="clear" w:color="auto" w:fill="EFEFEF"/>
        </w:rPr>
        <w:t xml:space="preserve">invariants.sql</w:t>
      </w:r>
      <w:r>
        <w:t xml:space="preserve"> + </w:t>
      </w:r>
      <w:r>
        <w:rPr>
          <w:rFonts w:ascii="Consolas" w:hAnsi="Consolas"/>
          <w:shd w:val="clear" w:color="auto" w:fill="EFEFEF"/>
        </w:rPr>
        <w:t xml:space="preserve">settlement_check.sql</w:t>
      </w:r>
      <w:r>
        <w:t xml:space="preserve">. Treat everything in </w:t>
      </w:r>
      <w:r>
        <w:rPr>
          <w:rFonts w:ascii="Consolas" w:hAnsi="Consolas"/>
          <w:shd w:val="clear" w:color="auto" w:fill="EFEFEF"/>
        </w:rPr>
        <w:t xml:space="preserve">apps/api</w:t>
      </w:r>
      <w:r>
        <w:t xml:space="preserve"> as reviewed-not-verified until then.</w:t>
      </w:r>
    </w:p>
    <w:p>
      <w:pPr>
        <w:pStyle w:val="Heading2"/>
      </w:pPr>
      <w:r>
        <w:t xml:space="preserve">13. No transport security assumed</w:t>
      </w:r>
    </w:p>
    <w:p>
      <w:r>
        <w:rPr>
          <w:b/>
        </w:rPr>
        <w:t xml:space="preserve">What:</w:t>
      </w:r>
      <w:r>
        <w:t xml:space="preserve"> local runs are plain HTTP; tokens and PII would cross the wire in the clear. </w:t>
      </w:r>
      <w:r>
        <w:rPr>
          <w:b/>
        </w:rPr>
        <w:t xml:space="preserve">Fix:</w:t>
      </w:r>
      <w:r>
        <w:t xml:space="preserve"> TLS on the API, DB (</w:t>
      </w:r>
      <w:r>
        <w:rPr>
          <w:rFonts w:ascii="Consolas" w:hAnsi="Consolas"/>
          <w:shd w:val="clear" w:color="auto" w:fill="EFEFEF"/>
        </w:rPr>
        <w:t xml:space="preserve">DATABASE_SSL=require</w:t>
      </w:r>
      <w:r>
        <w:t xml:space="preserve"> in prod, already enforced by config), and MinIO; HSTS on the web tier. Cert-pin in the mobile app (see the driver-app requirements).</w:t>
      </w:r>
    </w:p>
    <w:p>
      <w:pPr>
        <w:pStyle w:val="Heading2"/>
      </w:pPr>
      <w:r>
        <w:t xml:space="preserve">14. "Unauthorized stop" is still a rule, not a geofence</w:t>
      </w:r>
    </w:p>
    <w:p>
      <w:r>
        <w:rPr>
          <w:b/>
        </w:rPr>
        <w:t xml:space="preserve">What:</w:t>
      </w:r>
      <w:r>
        <w:t xml:space="preserve"> a stop is flagged only if marked Unscheduled or over the max-stops count. A driver can stop anywhere off-route and mark it "Break" within the limit. </w:t>
      </w:r>
      <w:r>
        <w:rPr>
          <w:b/>
        </w:rPr>
        <w:t xml:space="preserve">Fix:</w:t>
      </w:r>
      <w:r>
        <w:t xml:space="preserve"> the planned PostGIS geofence-deviation check (migration </w:t>
      </w:r>
      <w:r>
        <w:rPr>
          <w:rFonts w:ascii="Consolas" w:hAnsi="Consolas"/>
          <w:shd w:val="clear" w:color="auto" w:fill="EFEFEF"/>
        </w:rPr>
        <w:t xml:space="preserve">003</w:t>
      </w:r>
      <w:r>
        <w:t xml:space="preserve"> + ingest) is the real control; the rule is a placeholder. Documented as an open decision.</w:t>
      </w:r>
    </w:p>
    <w:p>
      <w:pPr>
        <w:pStyle w:val="Heading2"/>
      </w:pPr>
      <w:r>
        <w:t xml:space="preserve">15. GPS ingest has no abuse controls yet</w:t>
      </w:r>
    </w:p>
    <w:p>
      <w:r>
        <w:rPr>
          <w:b/>
        </w:rPr>
        <w:t xml:space="preserve">What:</w:t>
      </w:r>
      <w:r>
        <w:t xml:space="preserve"> the future ingest endpoint could be flooded with spoofed positions. </w:t>
      </w:r>
      <w:r>
        <w:rPr>
          <w:b/>
        </w:rPr>
        <w:t xml:space="preserve">Fix:</w:t>
      </w:r>
      <w:r>
        <w:t xml:space="preserve"> per-device auth + rate limiting + sanity bounds on the ingest path (the schema already rejects future-dated pings); design it in before trackers are connected.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🟢 Low</w:t>
      </w:r>
    </w:p>
    <w:p>
      <w:pPr>
        <w:pStyle w:val="Heading2"/>
      </w:pPr>
      <w:r>
        <w:t xml:space="preserve">16. Bill blobs are session-only</w:t>
      </w:r>
    </w:p>
    <w:p>
      <w:r>
        <w:rPr>
          <w:b/>
        </w:rPr>
        <w:t xml:space="preserve">What:</w:t>
      </w:r>
      <w:r>
        <w:t xml:space="preserve"> uploaded bills are </w:t>
      </w:r>
      <w:r>
        <w:rPr>
          <w:rFonts w:ascii="Consolas" w:hAnsi="Consolas"/>
          <w:shd w:val="clear" w:color="auto" w:fill="EFEFEF"/>
        </w:rPr>
        <w:t xml:space="preserve">URL.createObjectURL</w:t>
      </w:r>
      <w:r>
        <w:t xml:space="preserve"> blobs, dropped on persist — only the filename survives a reload or the cross-client hop. </w:t>
      </w:r>
      <w:r>
        <w:rPr>
          <w:b/>
        </w:rPr>
        <w:t xml:space="preserve">Fix:</w:t>
      </w:r>
      <w:r>
        <w:t xml:space="preserve"> real object storage (already coded server-side) makes this moot.</w:t>
      </w:r>
    </w:p>
    <w:p>
      <w:pPr>
        <w:pStyle w:val="Heading2"/>
      </w:pPr>
      <w:r>
        <w:t xml:space="preserve">17. Dead driver code in the manager site</w:t>
      </w:r>
    </w:p>
    <w:p>
      <w:r>
        <w:rPr>
          <w:b/>
        </w:rPr>
        <w:t xml:space="preserve">What:</w:t>
      </w:r>
      <w:r>
        <w:t xml:space="preserve"> </w:t>
      </w:r>
      <w:r>
        <w:rPr>
          <w:rFonts w:ascii="Consolas" w:hAnsi="Consolas"/>
          <w:shd w:val="clear" w:color="auto" w:fill="EFEFEF"/>
        </w:rPr>
        <w:t xml:space="preserve">tms-app.html</w:t>
      </w:r>
      <w:r>
        <w:t xml:space="preserve"> still defines the old driver functions (never called) after the split. </w:t>
      </w:r>
      <w:r>
        <w:rPr>
          <w:b/>
        </w:rPr>
        <w:t xml:space="preserve">Fix:</w:t>
      </w:r>
      <w:r>
        <w:t xml:space="preserve"> delete </w:t>
      </w:r>
      <w:r>
        <w:rPr>
          <w:rFonts w:ascii="Consolas" w:hAnsi="Consolas"/>
          <w:shd w:val="clear" w:color="auto" w:fill="EFEFEF"/>
        </w:rPr>
        <w:t xml:space="preserve">renderDriver</w:t>
      </w:r>
      <w:r>
        <w:t xml:space="preserve">, </w:t>
      </w:r>
      <w:r>
        <w:rPr>
          <w:rFonts w:ascii="Consolas" w:hAnsi="Consolas"/>
          <w:shd w:val="clear" w:color="auto" w:fill="EFEFEF"/>
        </w:rPr>
        <w:t xml:space="preserve">wireDriver</w:t>
      </w:r>
      <w:r>
        <w:t xml:space="preserve">, </w:t>
      </w:r>
      <w:r>
        <w:rPr>
          <w:rFonts w:ascii="Consolas" w:hAnsi="Consolas"/>
          <w:shd w:val="clear" w:color="auto" w:fill="EFEFEF"/>
        </w:rPr>
        <w:t xml:space="preserve">lookupTrip</w:t>
      </w:r>
      <w:r>
        <w:t xml:space="preserve">, </w:t>
      </w:r>
      <w:r>
        <w:rPr>
          <w:rFonts w:ascii="Consolas" w:hAnsi="Consolas"/>
          <w:shd w:val="clear" w:color="auto" w:fill="EFEFEF"/>
        </w:rPr>
        <w:t xml:space="preserve">expensesCard</w:t>
      </w:r>
      <w:r>
        <w:t xml:space="preserve">, </w:t>
      </w:r>
      <w:r>
        <w:rPr>
          <w:rFonts w:ascii="Consolas" w:hAnsi="Consolas"/>
          <w:shd w:val="clear" w:color="auto" w:fill="EFEFEF"/>
        </w:rPr>
        <w:t xml:space="preserve">stopsCard</w:t>
      </w:r>
      <w:r>
        <w:t xml:space="preserve">, </w:t>
      </w:r>
      <w:r>
        <w:rPr>
          <w:rFonts w:ascii="Consolas" w:hAnsi="Consolas"/>
          <w:shd w:val="clear" w:color="auto" w:fill="EFEFEF"/>
        </w:rPr>
        <w:t xml:space="preserve">odometerHint</w:t>
      </w:r>
      <w:r>
        <w:t xml:space="preserve">, </w:t>
      </w:r>
      <w:r>
        <w:rPr>
          <w:rFonts w:ascii="Consolas" w:hAnsi="Consolas"/>
          <w:shd w:val="clear" w:color="auto" w:fill="EFEFEF"/>
        </w:rPr>
        <w:t xml:space="preserve">lastKnownOdometer</w:t>
      </w:r>
      <w:r>
        <w:t xml:space="preserve"> from the manager file. Low risk, just hygiene.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The one-line version for the business</w:t>
      </w:r>
    </w:p>
    <w:p>
      <w:r>
        <w:t xml:space="preserve">The prototype is a faithful </w:t>
      </w:r>
      <w:r>
        <w:rPr>
          <w:b/>
        </w:rPr>
        <w:t xml:space="preserve">workflow</w:t>
      </w:r>
      <w:r>
        <w:t xml:space="preserve"> demo but is </w:t>
      </w:r>
      <w:r>
        <w:rPr>
          <w:b/>
        </w:rPr>
        <w:t xml:space="preserve">not secure or tamper-evident</w:t>
      </w:r>
      <w:r>
        <w:t xml:space="preserve"> — no auth, plaintext local data, and every trip metric is self-reported. The API is designed to fix most of this (auth, RBAC, append-only audit, DB-enforced invariants) but is </w:t>
      </w:r>
      <w:r>
        <w:rPr>
          <w:b/>
        </w:rPr>
        <w:t xml:space="preserve">unrun</w:t>
      </w:r>
      <w:r>
        <w:t xml:space="preserve">, and the clients don't use it yet. The irreducible business risk even after wiring it all up is #4: </w:t>
      </w:r>
      <w:r>
        <w:rPr>
          <w:b/>
        </w:rPr>
        <w:t xml:space="preserve">without GPS and weighbridge/fuel-card integration, the numbers a trip is paid on are whatever the driver typed.</w:t>
      </w:r>
      <w:r>
        <w:t xml:space="preserve"> That integration is the thing that turns this from a logbook into a control.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before="0" w:after="240"/>
      <w:pBdr>
        <w:bottom w:val="single" w:sz="12" w:space="4" w:color="2E5A3E"/>
      </w:pBdr>
    </w:pPr>
    <w:rPr>
      <w:rFonts w:ascii="Calibri Light" w:hAnsi="Calibri Light"/>
      <w:b/>
      <w:color w:val="1E3A28"/>
      <w:sz w:val="48"/>
    </w:rPr>
  </w:style>
  <w:style w:type="paragraph" w:styleId="Heading1">
    <w:name w:val="heading 1"/>
    <w:basedOn w:val="Normal"/>
    <w:next w:val="Normal"/>
    <w:pPr>
      <w:keepNext/>
      <w:spacing w:before="280" w:after="80"/>
      <w:outlineLvl w:val="0"/>
    </w:pPr>
    <w:rPr>
      <w:b/>
      <w:color w:val="2E5A3E"/>
      <w:sz w:val="30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color w:val="35503F"/>
      <w:sz w:val="24"/>
    </w:rPr>
  </w:style>
  <w:style w:type="paragraph" w:styleId="Heading3">
    <w:name w:val="heading 3"/>
    <w:basedOn w:val="Normal"/>
    <w:next w:val="Normal"/>
    <w:pPr>
      <w:keepNext/>
      <w:spacing w:before="160" w:after="40"/>
      <w:outlineLvl w:val="2"/>
    </w:pPr>
    <w:rPr>
      <w:b/>
      <w:color w:val="4A4A4A"/>
      <w:sz w:val="23"/>
    </w:rPr>
  </w:style>
  <w:style w:type="paragraph" w:styleId="ListParagraph">
    <w:name w:val="List Paragraph"/>
    <w:basedOn w:val="Normal"/>
    <w:pPr>
      <w:spacing w:after="40"/>
    </w:pPr>
  </w:style>
  <w:style w:type="paragraph" w:styleId="Quote">
    <w:name w:val="Quote"/>
    <w:basedOn w:val="Normal"/>
    <w:pPr>
      <w:ind w:left="360"/>
      <w:pBdr>
        <w:left w:val="single" w:sz="18" w:space="8" w:color="C9B27A"/>
      </w:pBdr>
      <w:spacing w:before="80" w:after="80"/>
    </w:pPr>
    <w:rPr>
      <w:i/>
      <w:color w:val="555555"/>
    </w:rPr>
  </w:style>
  <w:style w:type="paragraph" w:styleId="CodeBlock">
    <w:name w:val="Code Block"/>
    <w:basedOn w:val="Normal"/>
    <w:pPr>
      <w:spacing w:after="0" w:line="240" w:lineRule="auto"/>
      <w:shd w:val="clear" w:color="auto" w:fill="F4F4F2"/>
      <w:ind w:left="120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