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2A44"/>
          <w:sz w:val="44"/>
          <w:szCs w:val="44"/>
        </w:rPr>
        <w:t xml:space="preserve">TankerTrack — Security Assessment</w:t>
      </w:r>
    </w:p>
    <w:p>
      <w:pPr>
        <w:spacing w:after="60"/>
      </w:pPr>
      <w:r>
        <w:rPr>
          <w:rFonts w:ascii="Calibri" w:cs="Calibri" w:eastAsia="Calibri" w:hAnsi="Calibri"/>
          <w:color w:val="52606D"/>
          <w:sz w:val="24"/>
          <w:szCs w:val="24"/>
        </w:rPr>
        <w:t xml:space="preserve">Ethanol Fleet Transportation Management System · Green Energy</w:t>
      </w:r>
    </w:p>
    <w:p>
      <w:pPr>
        <w:spacing w:after="40"/>
      </w:pPr>
      <w:r>
        <w:rPr>
          <w:rFonts w:ascii="Calibri" w:cs="Calibri" w:eastAsia="Calibri" w:hAnsi="Calibri"/>
          <w:i/>
          <w:iCs/>
          <w:color w:val="52606D"/>
          <w:sz w:val="18"/>
          <w:szCs w:val="18"/>
        </w:rPr>
        <w:t xml:space="preserve">Version 1.0  ·  8 August 2026  ·  Classification: Internal  ·  Assessment type: design &amp; code review of the running prototype</w:t>
      </w:r>
    </w:p>
    <w:p>
      <w:pPr>
        <w:pBdr>
          <w:bottom w:val="single" w:color="D2D6DC" w:sz="6" w:space="2"/>
        </w:pBdr>
        <w:spacing w:after="60" w:before="60"/>
      </w:pPr>
      <w:r>
        <w:t xml:space="preserve"/>
      </w:r>
    </w:p>
    <w:p>
      <w:pPr>
        <w:pStyle w:val="Heading1"/>
        <w:pBdr>
          <w:bottom w:val="single" w:color="2563EB" w:sz="8" w:space="4"/>
        </w:pBdr>
        <w:spacing w:after="120" w:before="300"/>
      </w:pPr>
      <w:r>
        <w:rPr>
          <w:rFonts w:ascii="Calibri" w:cs="Calibri" w:eastAsia="Calibri" w:hAnsi="Calibri"/>
          <w:b/>
          <w:bCs/>
          <w:color w:val="1F2A44"/>
          <w:sz w:val="30"/>
          <w:szCs w:val="30"/>
        </w:rPr>
        <w:t xml:space="preserve">1. Executive Summary</w:t>
      </w:r>
    </w:p>
    <w:p>
      <w:pPr>
        <w:spacing w:after="120" w:line="276"/>
      </w:pPr>
      <w:r>
        <w:rPr>
          <w:rFonts w:ascii="Calibri" w:cs="Calibri" w:eastAsia="Calibri" w:hAnsi="Calibri"/>
          <w:color w:val="1F2933"/>
          <w:sz w:val="21"/>
          <w:szCs w:val="21"/>
        </w:rPr>
        <w:t xml:space="preserve">TankerTrack is a faithful workflow demonstration but is not yet secure or tamper-evident. The two clients now running (manager website and driver app) have no authentication, keep data in the clear, and settle every trip on numbers the driver types in with no independent ground truth. The NestJS API was designed to fix most of this — JWT auth, role-based access, an append-only audit trail, and database-enforced rules — but it has not been run yet, and the clients do not use it.</w:t>
      </w:r>
    </w:p>
    <w:tbl>
      <w:tblPr>
        <w:tblW w:type="dxa" w:w="9360"/>
        <w:tblBorders>
          <w:top w:val="single" w:color="EEF2FF" w:sz="4"/>
          <w:left w:val="single" w:color="2563EB" w:sz="24"/>
          <w:bottom w:val="single" w:color="EEF2FF" w:sz="4"/>
          <w:right w:val="single" w:color="EEF2FF" w:sz="4"/>
          <w:insideH w:val="none"/>
          <w:insideV w:val="none"/>
        </w:tblBorders>
      </w:tblPr>
      <w:tblGrid>
        <w:gridCol w:w="9360"/>
      </w:tblGrid>
      <w:tr>
        <w:tc>
          <w:tcPr>
            <w:tcW w:type="dxa" w:w="9360"/>
            <w:shd w:fill="EEF2FF" w:color="auto" w:val="clear"/>
            <w:tcMar>
              <w:top w:type="dxa" w:w="120"/>
              <w:left w:type="dxa" w:w="200"/>
              <w:bottom w:type="dxa" w:w="120"/>
              <w:right w:type="dxa" w:w="160"/>
            </w:tcMar>
          </w:tcPr>
          <w:p>
            <w:pPr>
              <w:spacing w:after="40" w:line="264"/>
            </w:pPr>
            <w:r>
              <w:rPr>
                <w:rFonts w:ascii="Calibri" w:cs="Calibri" w:eastAsia="Calibri" w:hAnsi="Calibri"/>
                <w:b/>
                <w:bCs/>
                <w:color w:val="1F2A44"/>
                <w:sz w:val="22"/>
                <w:szCs w:val="22"/>
              </w:rPr>
              <w:t xml:space="preserve">Bottom line for the business</w:t>
            </w:r>
          </w:p>
          <w:p>
            <w:pPr>
              <w:spacing w:after="40" w:line="264"/>
            </w:pPr>
            <w:r>
              <w:rPr>
                <w:rFonts w:ascii="Calibri" w:cs="Calibri" w:eastAsia="Calibri" w:hAnsi="Calibri"/>
                <w:color w:val="1F2933"/>
                <w:sz w:val="21"/>
                <w:szCs w:val="21"/>
              </w:rPr>
              <w:t xml:space="preserve">Safe to demo the workflow. Not safe to hold real driver PII or to pay drivers off, because: (1) there is no login, (2) local data is unencrypted, and (3) every paid metric is self-reported. The single largest residual risk — even after the API is wired in — is that without GPS, weighbridge, and fuel-card integration, a trip is paid on whatever the driver entered.</w:t>
            </w:r>
          </w:p>
        </w:tc>
      </w:tr>
    </w:tbl>
    <w:p>
      <w:pPr>
        <w:spacing w:after="120" w:line="276"/>
      </w:pPr>
      <w:r>
        <w:rPr>
          <w:rFonts w:ascii="Calibri" w:cs="Calibri" w:eastAsia="Calibri" w:hAnsi="Calibri"/>
          <w:b/>
          <w:bCs/>
          <w:color w:val="1F2933"/>
          <w:sz w:val="21"/>
          <w:szCs w:val="21"/>
        </w:rPr>
        <w:t xml:space="preserve">Findings at a glance: </w:t>
      </w:r>
      <w:r>
        <w:rPr>
          <w:rFonts w:ascii="Calibri" w:cs="Calibri" w:eastAsia="Calibri" w:hAnsi="Calibri"/>
          <w:b/>
          <w:bCs/>
          <w:color w:val="C0392B"/>
          <w:sz w:val="21"/>
          <w:szCs w:val="21"/>
        </w:rPr>
        <w:t xml:space="preserve">Critical</w:t>
      </w:r>
      <w:r>
        <w:rPr>
          <w:rFonts w:ascii="Calibri" w:cs="Calibri" w:eastAsia="Calibri" w:hAnsi="Calibri"/>
          <w:color w:val="1F2933"/>
          <w:sz w:val="21"/>
          <w:szCs w:val="21"/>
        </w:rPr>
        <w:t xml:space="preserve"> 4   ·   </w:t>
      </w:r>
      <w:r>
        <w:rPr>
          <w:rFonts w:ascii="Calibri" w:cs="Calibri" w:eastAsia="Calibri" w:hAnsi="Calibri"/>
          <w:b/>
          <w:bCs/>
          <w:color w:val="D9691E"/>
          <w:sz w:val="21"/>
          <w:szCs w:val="21"/>
        </w:rPr>
        <w:t xml:space="preserve">High</w:t>
      </w:r>
      <w:r>
        <w:rPr>
          <w:rFonts w:ascii="Calibri" w:cs="Calibri" w:eastAsia="Calibri" w:hAnsi="Calibri"/>
          <w:color w:val="1F2933"/>
          <w:sz w:val="21"/>
          <w:szCs w:val="21"/>
        </w:rPr>
        <w:t xml:space="preserve"> 6   ·   </w:t>
      </w:r>
      <w:r>
        <w:rPr>
          <w:rFonts w:ascii="Calibri" w:cs="Calibri" w:eastAsia="Calibri" w:hAnsi="Calibri"/>
          <w:b/>
          <w:bCs/>
          <w:color w:val="B7791F"/>
          <w:sz w:val="21"/>
          <w:szCs w:val="21"/>
        </w:rPr>
        <w:t xml:space="preserve">Medium</w:t>
      </w:r>
      <w:r>
        <w:rPr>
          <w:rFonts w:ascii="Calibri" w:cs="Calibri" w:eastAsia="Calibri" w:hAnsi="Calibri"/>
          <w:color w:val="1F2933"/>
          <w:sz w:val="21"/>
          <w:szCs w:val="21"/>
        </w:rPr>
        <w:t xml:space="preserve"> 5   ·   </w:t>
      </w:r>
      <w:r>
        <w:rPr>
          <w:rFonts w:ascii="Calibri" w:cs="Calibri" w:eastAsia="Calibri" w:hAnsi="Calibri"/>
          <w:b/>
          <w:bCs/>
          <w:color w:val="15803D"/>
          <w:sz w:val="21"/>
          <w:szCs w:val="21"/>
        </w:rPr>
        <w:t xml:space="preserve">Low</w:t>
      </w:r>
      <w:r>
        <w:rPr>
          <w:rFonts w:ascii="Calibri" w:cs="Calibri" w:eastAsia="Calibri" w:hAnsi="Calibri"/>
          <w:color w:val="1F2933"/>
          <w:sz w:val="21"/>
          <w:szCs w:val="21"/>
        </w:rPr>
        <w:t xml:space="preserve"> 2</w:t>
      </w:r>
    </w:p>
    <w:p>
      <w:pPr>
        <w:pStyle w:val="Heading1"/>
        <w:pBdr>
          <w:bottom w:val="single" w:color="2563EB" w:sz="8" w:space="4"/>
        </w:pBdr>
        <w:spacing w:after="120" w:before="300"/>
      </w:pPr>
      <w:r>
        <w:rPr>
          <w:rFonts w:ascii="Calibri" w:cs="Calibri" w:eastAsia="Calibri" w:hAnsi="Calibri"/>
          <w:b/>
          <w:bCs/>
          <w:color w:val="1F2A44"/>
          <w:sz w:val="30"/>
          <w:szCs w:val="30"/>
        </w:rPr>
        <w:t xml:space="preserve">2. Scope &amp; Method</w:t>
      </w:r>
    </w:p>
    <w:p>
      <w:pPr>
        <w:spacing w:after="120" w:line="276"/>
      </w:pPr>
      <w:r>
        <w:rPr>
          <w:rFonts w:ascii="Calibri" w:cs="Calibri" w:eastAsia="Calibri" w:hAnsi="Calibri"/>
          <w:color w:val="1F2933"/>
          <w:sz w:val="21"/>
          <w:szCs w:val="21"/>
        </w:rPr>
        <w:t xml:space="preserve">This assessment covers the code and design as they stand today: the two HTML clients, the shared local server (server.py), the shared data layer (store.js), the written-but-unrun NestJS API, and the PostgreSQL schema. It is a manual design and code review, not a live penetration test — the API has never been executed, so its findings are review-based.</w:t>
      </w:r>
    </w:p>
    <w:p>
      <w:pPr>
        <w:pStyle w:val="ListParagraph"/>
        <w:numPr>
          <w:ilvl w:val="0"/>
          <w:numId w:val="1"/>
        </w:numPr>
        <w:spacing w:after="60" w:line="264"/>
      </w:pPr>
      <w:r>
        <w:rPr>
          <w:rFonts w:ascii="Calibri" w:cs="Calibri" w:eastAsia="Calibri" w:hAnsi="Calibri"/>
          <w:b/>
          <w:bCs/>
          <w:color w:val="1F2933"/>
          <w:sz w:val="21"/>
          <w:szCs w:val="21"/>
        </w:rPr>
        <w:t xml:space="preserve">Reviewed: </w:t>
      </w:r>
      <w:r>
        <w:rPr>
          <w:rFonts w:ascii="Calibri" w:cs="Calibri" w:eastAsia="Calibri" w:hAnsi="Calibri"/>
          <w:color w:val="1F2933"/>
          <w:sz w:val="21"/>
          <w:szCs w:val="21"/>
        </w:rPr>
        <w:t xml:space="preserve">tms-app.html, driver.html, store.js, server.py, apps/api/src/*, db/migrations/001–005.</w:t>
      </w:r>
    </w:p>
    <w:p>
      <w:pPr>
        <w:pStyle w:val="ListParagraph"/>
        <w:numPr>
          <w:ilvl w:val="0"/>
          <w:numId w:val="1"/>
        </w:numPr>
        <w:spacing w:after="60" w:line="264"/>
      </w:pPr>
      <w:r>
        <w:rPr>
          <w:rFonts w:ascii="Calibri" w:cs="Calibri" w:eastAsia="Calibri" w:hAnsi="Calibri"/>
          <w:b/>
          <w:bCs/>
          <w:color w:val="1F2933"/>
          <w:sz w:val="21"/>
          <w:szCs w:val="21"/>
        </w:rPr>
        <w:t xml:space="preserve">Ratings: </w:t>
      </w:r>
      <w:r>
        <w:rPr>
          <w:rFonts w:ascii="Calibri" w:cs="Calibri" w:eastAsia="Calibri" w:hAnsi="Calibri"/>
          <w:color w:val="1F2933"/>
          <w:sz w:val="21"/>
          <w:szCs w:val="21"/>
        </w:rPr>
        <w:t xml:space="preserve">Critical = exploitable now with direct financial/PII impact; High = serious weakness needing design change; Medium = hardening / defence-in-depth; Low = hygiene.</w:t>
      </w:r>
    </w:p>
    <w:p>
      <w:pPr>
        <w:pStyle w:val="Heading1"/>
        <w:pBdr>
          <w:bottom w:val="single" w:color="2563EB" w:sz="8" w:space="4"/>
        </w:pBdr>
        <w:spacing w:after="120" w:before="300"/>
      </w:pPr>
      <w:r>
        <w:rPr>
          <w:rFonts w:ascii="Calibri" w:cs="Calibri" w:eastAsia="Calibri" w:hAnsi="Calibri"/>
          <w:b/>
          <w:bCs/>
          <w:color w:val="1F2A44"/>
          <w:sz w:val="30"/>
          <w:szCs w:val="30"/>
        </w:rPr>
        <w:t xml:space="preserve">3. Findings Summary</w:t>
      </w:r>
    </w:p>
    <w:tbl>
      <w:tblPr>
        <w:tblW w:type="dxa" w:w="10080"/>
        <w:tblBorders>
          <w:top w:val="single" w:color="D2D6DC" w:sz="4"/>
          <w:left w:val="single" w:color="D2D6DC" w:sz="4"/>
          <w:bottom w:val="single" w:color="D2D6DC" w:sz="4"/>
          <w:right w:val="single" w:color="D2D6DC" w:sz="4"/>
          <w:insideH w:val="single" w:color="D2D6DC" w:sz="4"/>
          <w:insideV w:val="single" w:color="D2D6DC" w:sz="4"/>
        </w:tblBorders>
      </w:tblPr>
      <w:tblGrid>
        <w:gridCol w:w="620"/>
        <w:gridCol w:w="4700"/>
        <w:gridCol w:w="1560"/>
        <w:gridCol w:w="1400"/>
        <w:gridCol w:w="1800"/>
      </w:tblGrid>
      <w:tr>
        <w:trPr>
          <w:tblHeader/>
        </w:trPr>
        <w:tc>
          <w:tcPr>
            <w:tcW w:type="dxa" w:w="620"/>
            <w:shd w:fill="1F2A4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t>
            </w:r>
          </w:p>
        </w:tc>
        <w:tc>
          <w:tcPr>
            <w:tcW w:type="dxa" w:w="4700"/>
            <w:shd w:fill="1F2A4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Finding</w:t>
            </w:r>
          </w:p>
        </w:tc>
        <w:tc>
          <w:tcPr>
            <w:tcW w:type="dxa" w:w="1560"/>
            <w:shd w:fill="1F2A4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Layer</w:t>
            </w:r>
          </w:p>
        </w:tc>
        <w:tc>
          <w:tcPr>
            <w:tcW w:type="dxa" w:w="1400"/>
            <w:shd w:fill="1F2A4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Severity</w:t>
            </w:r>
          </w:p>
        </w:tc>
        <w:tc>
          <w:tcPr>
            <w:tcW w:type="dxa" w:w="1800"/>
            <w:shd w:fill="1F2A4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Status</w:t>
            </w:r>
          </w:p>
        </w:tc>
      </w:tr>
      <w:tr>
        <w:tc>
          <w:tcPr>
            <w:tcW w:type="dxa" w:w="620"/>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1</w:t>
            </w:r>
          </w:p>
        </w:tc>
        <w:tc>
          <w:tcPr>
            <w:tcW w:type="dxa" w:w="470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Clients have no authentication at all</w:t>
            </w:r>
          </w:p>
        </w:tc>
        <w:tc>
          <w:tcPr>
            <w:tcW w:type="dxa" w:w="156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Prototype</w:t>
            </w:r>
          </w:p>
        </w:tc>
        <w:tc>
          <w:tcPr>
            <w:tcW w:type="dxa" w:w="1400"/>
            <w:tcMar>
              <w:top w:type="dxa" w:w="50"/>
              <w:left w:type="dxa" w:w="100"/>
              <w:bottom w:type="dxa" w:w="50"/>
              <w:right w:type="dxa" w:w="100"/>
            </w:tcMar>
            <w:vAlign w:val="center"/>
          </w:tcPr>
          <w:p>
            <w:pPr>
              <w:spacing w:after="0"/>
            </w:pPr>
            <w:r>
              <w:rPr>
                <w:rFonts w:ascii="Calibri" w:cs="Calibri" w:eastAsia="Calibri" w:hAnsi="Calibri"/>
                <w:b/>
                <w:bCs/>
                <w:color w:val="C0392B"/>
                <w:sz w:val="19"/>
                <w:szCs w:val="19"/>
              </w:rPr>
              <w:t xml:space="preserve">Critical</w:t>
            </w:r>
          </w:p>
        </w:tc>
        <w:tc>
          <w:tcPr>
            <w:tcW w:type="dxa" w:w="1800"/>
            <w:tcMar>
              <w:top w:type="dxa" w:w="50"/>
              <w:left w:type="dxa" w:w="100"/>
              <w:bottom w:type="dxa" w:w="50"/>
              <w:right w:type="dxa" w:w="100"/>
            </w:tcMar>
            <w:vAlign w:val="center"/>
          </w:tcPr>
          <w:p>
            <w:pPr>
              <w:spacing w:after="0"/>
            </w:pPr>
            <w:r>
              <w:rPr>
                <w:rFonts w:ascii="Calibri" w:cs="Calibri" w:eastAsia="Calibri" w:hAnsi="Calibri"/>
                <w:b/>
                <w:bCs/>
                <w:color w:val="C0392B"/>
                <w:sz w:val="18"/>
                <w:szCs w:val="18"/>
              </w:rPr>
              <w:t xml:space="preserve">Open</w:t>
            </w:r>
          </w:p>
        </w:tc>
      </w:tr>
      <w:tr>
        <w:tc>
          <w:tcPr>
            <w:tcW w:type="dxa" w:w="620"/>
            <w:shd w:fill="F4F6F8" w:color="auto" w:val="clear"/>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2</w:t>
            </w:r>
          </w:p>
        </w:tc>
        <w:tc>
          <w:tcPr>
            <w:tcW w:type="dxa" w:w="470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All data stored in plaintext localStorage / store.json</w:t>
            </w:r>
          </w:p>
        </w:tc>
        <w:tc>
          <w:tcPr>
            <w:tcW w:type="dxa" w:w="156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Prototype</w:t>
            </w:r>
          </w:p>
        </w:tc>
        <w:tc>
          <w:tcPr>
            <w:tcW w:type="dxa" w:w="1400"/>
            <w:shd w:fill="F4F6F8" w:color="auto" w:val="clear"/>
            <w:tcMar>
              <w:top w:type="dxa" w:w="50"/>
              <w:left w:type="dxa" w:w="100"/>
              <w:bottom w:type="dxa" w:w="50"/>
              <w:right w:type="dxa" w:w="100"/>
            </w:tcMar>
            <w:vAlign w:val="center"/>
          </w:tcPr>
          <w:p>
            <w:pPr>
              <w:spacing w:after="0"/>
            </w:pPr>
            <w:r>
              <w:rPr>
                <w:rFonts w:ascii="Calibri" w:cs="Calibri" w:eastAsia="Calibri" w:hAnsi="Calibri"/>
                <w:b/>
                <w:bCs/>
                <w:color w:val="C0392B"/>
                <w:sz w:val="19"/>
                <w:szCs w:val="19"/>
              </w:rPr>
              <w:t xml:space="preserve">Critical</w:t>
            </w:r>
          </w:p>
        </w:tc>
        <w:tc>
          <w:tcPr>
            <w:tcW w:type="dxa" w:w="1800"/>
            <w:shd w:fill="F4F6F8" w:color="auto" w:val="clear"/>
            <w:tcMar>
              <w:top w:type="dxa" w:w="50"/>
              <w:left w:type="dxa" w:w="100"/>
              <w:bottom w:type="dxa" w:w="50"/>
              <w:right w:type="dxa" w:w="100"/>
            </w:tcMar>
            <w:vAlign w:val="center"/>
          </w:tcPr>
          <w:p>
            <w:pPr>
              <w:spacing w:after="0"/>
            </w:pPr>
            <w:r>
              <w:rPr>
                <w:rFonts w:ascii="Calibri" w:cs="Calibri" w:eastAsia="Calibri" w:hAnsi="Calibri"/>
                <w:b/>
                <w:bCs/>
                <w:color w:val="C0392B"/>
                <w:sz w:val="18"/>
                <w:szCs w:val="18"/>
              </w:rPr>
              <w:t xml:space="preserve">Open</w:t>
            </w:r>
          </w:p>
        </w:tc>
      </w:tr>
      <w:tr>
        <w:tc>
          <w:tcPr>
            <w:tcW w:type="dxa" w:w="620"/>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3</w:t>
            </w:r>
          </w:p>
        </w:tc>
        <w:tc>
          <w:tcPr>
            <w:tcW w:type="dxa" w:w="470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Expenses accepted on already-completed trips</w:t>
            </w:r>
          </w:p>
        </w:tc>
        <w:tc>
          <w:tcPr>
            <w:tcW w:type="dxa" w:w="156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API</w:t>
            </w:r>
          </w:p>
        </w:tc>
        <w:tc>
          <w:tcPr>
            <w:tcW w:type="dxa" w:w="1400"/>
            <w:tcMar>
              <w:top w:type="dxa" w:w="50"/>
              <w:left w:type="dxa" w:w="100"/>
              <w:bottom w:type="dxa" w:w="50"/>
              <w:right w:type="dxa" w:w="100"/>
            </w:tcMar>
            <w:vAlign w:val="center"/>
          </w:tcPr>
          <w:p>
            <w:pPr>
              <w:spacing w:after="0"/>
            </w:pPr>
            <w:r>
              <w:rPr>
                <w:rFonts w:ascii="Calibri" w:cs="Calibri" w:eastAsia="Calibri" w:hAnsi="Calibri"/>
                <w:b/>
                <w:bCs/>
                <w:color w:val="C0392B"/>
                <w:sz w:val="19"/>
                <w:szCs w:val="19"/>
              </w:rPr>
              <w:t xml:space="preserve">Critical</w:t>
            </w:r>
          </w:p>
        </w:tc>
        <w:tc>
          <w:tcPr>
            <w:tcW w:type="dxa" w:w="1800"/>
            <w:tcMar>
              <w:top w:type="dxa" w:w="50"/>
              <w:left w:type="dxa" w:w="100"/>
              <w:bottom w:type="dxa" w:w="50"/>
              <w:right w:type="dxa" w:w="100"/>
            </w:tcMar>
            <w:vAlign w:val="center"/>
          </w:tcPr>
          <w:p>
            <w:pPr>
              <w:spacing w:after="0"/>
            </w:pPr>
            <w:r>
              <w:rPr>
                <w:rFonts w:ascii="Calibri" w:cs="Calibri" w:eastAsia="Calibri" w:hAnsi="Calibri"/>
                <w:b/>
                <w:bCs/>
                <w:color w:val="B7791F"/>
                <w:sz w:val="18"/>
                <w:szCs w:val="18"/>
              </w:rPr>
              <w:t xml:space="preserve">Fix designed</w:t>
            </w:r>
          </w:p>
        </w:tc>
      </w:tr>
      <w:tr>
        <w:tc>
          <w:tcPr>
            <w:tcW w:type="dxa" w:w="620"/>
            <w:shd w:fill="F4F6F8" w:color="auto" w:val="clear"/>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4</w:t>
            </w:r>
          </w:p>
        </w:tc>
        <w:tc>
          <w:tcPr>
            <w:tcW w:type="dxa" w:w="470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Odometer / weight / diesel self-reported, no ground truth</w:t>
            </w:r>
          </w:p>
        </w:tc>
        <w:tc>
          <w:tcPr>
            <w:tcW w:type="dxa" w:w="156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Design</w:t>
            </w:r>
          </w:p>
        </w:tc>
        <w:tc>
          <w:tcPr>
            <w:tcW w:type="dxa" w:w="1400"/>
            <w:shd w:fill="F4F6F8" w:color="auto" w:val="clear"/>
            <w:tcMar>
              <w:top w:type="dxa" w:w="50"/>
              <w:left w:type="dxa" w:w="100"/>
              <w:bottom w:type="dxa" w:w="50"/>
              <w:right w:type="dxa" w:w="100"/>
            </w:tcMar>
            <w:vAlign w:val="center"/>
          </w:tcPr>
          <w:p>
            <w:pPr>
              <w:spacing w:after="0"/>
            </w:pPr>
            <w:r>
              <w:rPr>
                <w:rFonts w:ascii="Calibri" w:cs="Calibri" w:eastAsia="Calibri" w:hAnsi="Calibri"/>
                <w:b/>
                <w:bCs/>
                <w:color w:val="C0392B"/>
                <w:sz w:val="19"/>
                <w:szCs w:val="19"/>
              </w:rPr>
              <w:t xml:space="preserve">Critical</w:t>
            </w:r>
          </w:p>
        </w:tc>
        <w:tc>
          <w:tcPr>
            <w:tcW w:type="dxa" w:w="1800"/>
            <w:shd w:fill="F4F6F8" w:color="auto" w:val="clear"/>
            <w:tcMar>
              <w:top w:type="dxa" w:w="50"/>
              <w:left w:type="dxa" w:w="100"/>
              <w:bottom w:type="dxa" w:w="50"/>
              <w:right w:type="dxa" w:w="100"/>
            </w:tcMar>
            <w:vAlign w:val="center"/>
          </w:tcPr>
          <w:p>
            <w:pPr>
              <w:spacing w:after="0"/>
            </w:pPr>
            <w:r>
              <w:rPr>
                <w:rFonts w:ascii="Calibri" w:cs="Calibri" w:eastAsia="Calibri" w:hAnsi="Calibri"/>
                <w:b/>
                <w:bCs/>
                <w:color w:val="B7791F"/>
                <w:sz w:val="18"/>
                <w:szCs w:val="18"/>
              </w:rPr>
              <w:t xml:space="preserve">Accepted risk</w:t>
            </w:r>
          </w:p>
        </w:tc>
      </w:tr>
      <w:tr>
        <w:tc>
          <w:tcPr>
            <w:tcW w:type="dxa" w:w="620"/>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5</w:t>
            </w:r>
          </w:p>
        </w:tc>
        <w:tc>
          <w:tcPr>
            <w:tcW w:type="dxa" w:w="470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Sequential, guessable IDs (TS-, MR-, EX-)</w:t>
            </w:r>
          </w:p>
        </w:tc>
        <w:tc>
          <w:tcPr>
            <w:tcW w:type="dxa" w:w="156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API/DB</w:t>
            </w:r>
          </w:p>
        </w:tc>
        <w:tc>
          <w:tcPr>
            <w:tcW w:type="dxa" w:w="1400"/>
            <w:tcMar>
              <w:top w:type="dxa" w:w="50"/>
              <w:left w:type="dxa" w:w="100"/>
              <w:bottom w:type="dxa" w:w="50"/>
              <w:right w:type="dxa" w:w="100"/>
            </w:tcMar>
            <w:vAlign w:val="center"/>
          </w:tcPr>
          <w:p>
            <w:pPr>
              <w:spacing w:after="0"/>
            </w:pPr>
            <w:r>
              <w:rPr>
                <w:rFonts w:ascii="Calibri" w:cs="Calibri" w:eastAsia="Calibri" w:hAnsi="Calibri"/>
                <w:b/>
                <w:bCs/>
                <w:color w:val="D9691E"/>
                <w:sz w:val="19"/>
                <w:szCs w:val="19"/>
              </w:rPr>
              <w:t xml:space="preserve">High</w:t>
            </w:r>
          </w:p>
        </w:tc>
        <w:tc>
          <w:tcPr>
            <w:tcW w:type="dxa" w:w="1800"/>
            <w:tcMar>
              <w:top w:type="dxa" w:w="50"/>
              <w:left w:type="dxa" w:w="100"/>
              <w:bottom w:type="dxa" w:w="50"/>
              <w:right w:type="dxa" w:w="100"/>
            </w:tcMar>
            <w:vAlign w:val="center"/>
          </w:tcPr>
          <w:p>
            <w:pPr>
              <w:spacing w:after="0"/>
            </w:pPr>
            <w:r>
              <w:rPr>
                <w:rFonts w:ascii="Calibri" w:cs="Calibri" w:eastAsia="Calibri" w:hAnsi="Calibri"/>
                <w:b/>
                <w:bCs/>
                <w:color w:val="C0392B"/>
                <w:sz w:val="18"/>
                <w:szCs w:val="18"/>
              </w:rPr>
              <w:t xml:space="preserve">Open</w:t>
            </w:r>
          </w:p>
        </w:tc>
      </w:tr>
      <w:tr>
        <w:tc>
          <w:tcPr>
            <w:tcW w:type="dxa" w:w="620"/>
            <w:shd w:fill="F4F6F8" w:color="auto" w:val="clear"/>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6</w:t>
            </w:r>
          </w:p>
        </w:tc>
        <w:tc>
          <w:tcPr>
            <w:tcW w:type="dxa" w:w="470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Device binding trusts a client-supplied fingerprint</w:t>
            </w:r>
          </w:p>
        </w:tc>
        <w:tc>
          <w:tcPr>
            <w:tcW w:type="dxa" w:w="156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API</w:t>
            </w:r>
          </w:p>
        </w:tc>
        <w:tc>
          <w:tcPr>
            <w:tcW w:type="dxa" w:w="1400"/>
            <w:shd w:fill="F4F6F8" w:color="auto" w:val="clear"/>
            <w:tcMar>
              <w:top w:type="dxa" w:w="50"/>
              <w:left w:type="dxa" w:w="100"/>
              <w:bottom w:type="dxa" w:w="50"/>
              <w:right w:type="dxa" w:w="100"/>
            </w:tcMar>
            <w:vAlign w:val="center"/>
          </w:tcPr>
          <w:p>
            <w:pPr>
              <w:spacing w:after="0"/>
            </w:pPr>
            <w:r>
              <w:rPr>
                <w:rFonts w:ascii="Calibri" w:cs="Calibri" w:eastAsia="Calibri" w:hAnsi="Calibri"/>
                <w:b/>
                <w:bCs/>
                <w:color w:val="D9691E"/>
                <w:sz w:val="19"/>
                <w:szCs w:val="19"/>
              </w:rPr>
              <w:t xml:space="preserve">High</w:t>
            </w:r>
          </w:p>
        </w:tc>
        <w:tc>
          <w:tcPr>
            <w:tcW w:type="dxa" w:w="1800"/>
            <w:shd w:fill="F4F6F8" w:color="auto" w:val="clear"/>
            <w:tcMar>
              <w:top w:type="dxa" w:w="50"/>
              <w:left w:type="dxa" w:w="100"/>
              <w:bottom w:type="dxa" w:w="50"/>
              <w:right w:type="dxa" w:w="100"/>
            </w:tcMar>
            <w:vAlign w:val="center"/>
          </w:tcPr>
          <w:p>
            <w:pPr>
              <w:spacing w:after="0"/>
            </w:pPr>
            <w:r>
              <w:rPr>
                <w:rFonts w:ascii="Calibri" w:cs="Calibri" w:eastAsia="Calibri" w:hAnsi="Calibri"/>
                <w:b/>
                <w:bCs/>
                <w:color w:val="C0392B"/>
                <w:sz w:val="18"/>
                <w:szCs w:val="18"/>
              </w:rPr>
              <w:t xml:space="preserve">Open</w:t>
            </w:r>
          </w:p>
        </w:tc>
      </w:tr>
      <w:tr>
        <w:tc>
          <w:tcPr>
            <w:tcW w:type="dxa" w:w="620"/>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7</w:t>
            </w:r>
          </w:p>
        </w:tc>
        <w:tc>
          <w:tcPr>
            <w:tcW w:type="dxa" w:w="470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No approval gate before driver payout</w:t>
            </w:r>
          </w:p>
        </w:tc>
        <w:tc>
          <w:tcPr>
            <w:tcW w:type="dxa" w:w="156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Design</w:t>
            </w:r>
          </w:p>
        </w:tc>
        <w:tc>
          <w:tcPr>
            <w:tcW w:type="dxa" w:w="1400"/>
            <w:tcMar>
              <w:top w:type="dxa" w:w="50"/>
              <w:left w:type="dxa" w:w="100"/>
              <w:bottom w:type="dxa" w:w="50"/>
              <w:right w:type="dxa" w:w="100"/>
            </w:tcMar>
            <w:vAlign w:val="center"/>
          </w:tcPr>
          <w:p>
            <w:pPr>
              <w:spacing w:after="0"/>
            </w:pPr>
            <w:r>
              <w:rPr>
                <w:rFonts w:ascii="Calibri" w:cs="Calibri" w:eastAsia="Calibri" w:hAnsi="Calibri"/>
                <w:b/>
                <w:bCs/>
                <w:color w:val="D9691E"/>
                <w:sz w:val="19"/>
                <w:szCs w:val="19"/>
              </w:rPr>
              <w:t xml:space="preserve">High</w:t>
            </w:r>
          </w:p>
        </w:tc>
        <w:tc>
          <w:tcPr>
            <w:tcW w:type="dxa" w:w="1800"/>
            <w:tcMar>
              <w:top w:type="dxa" w:w="50"/>
              <w:left w:type="dxa" w:w="100"/>
              <w:bottom w:type="dxa" w:w="50"/>
              <w:right w:type="dxa" w:w="100"/>
            </w:tcMar>
            <w:vAlign w:val="center"/>
          </w:tcPr>
          <w:p>
            <w:pPr>
              <w:spacing w:after="0"/>
            </w:pPr>
            <w:r>
              <w:rPr>
                <w:rFonts w:ascii="Calibri" w:cs="Calibri" w:eastAsia="Calibri" w:hAnsi="Calibri"/>
                <w:b/>
                <w:bCs/>
                <w:color w:val="C0392B"/>
                <w:sz w:val="18"/>
                <w:szCs w:val="18"/>
              </w:rPr>
              <w:t xml:space="preserve">Open</w:t>
            </w:r>
          </w:p>
        </w:tc>
      </w:tr>
      <w:tr>
        <w:tc>
          <w:tcPr>
            <w:tcW w:type="dxa" w:w="620"/>
            <w:shd w:fill="F4F6F8" w:color="auto" w:val="clear"/>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8</w:t>
            </w:r>
          </w:p>
        </w:tc>
        <w:tc>
          <w:tcPr>
            <w:tcW w:type="dxa" w:w="470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Trip-expense receipts optional and not de-duplicated</w:t>
            </w:r>
          </w:p>
        </w:tc>
        <w:tc>
          <w:tcPr>
            <w:tcW w:type="dxa" w:w="156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API</w:t>
            </w:r>
          </w:p>
        </w:tc>
        <w:tc>
          <w:tcPr>
            <w:tcW w:type="dxa" w:w="1400"/>
            <w:shd w:fill="F4F6F8" w:color="auto" w:val="clear"/>
            <w:tcMar>
              <w:top w:type="dxa" w:w="50"/>
              <w:left w:type="dxa" w:w="100"/>
              <w:bottom w:type="dxa" w:w="50"/>
              <w:right w:type="dxa" w:w="100"/>
            </w:tcMar>
            <w:vAlign w:val="center"/>
          </w:tcPr>
          <w:p>
            <w:pPr>
              <w:spacing w:after="0"/>
            </w:pPr>
            <w:r>
              <w:rPr>
                <w:rFonts w:ascii="Calibri" w:cs="Calibri" w:eastAsia="Calibri" w:hAnsi="Calibri"/>
                <w:b/>
                <w:bCs/>
                <w:color w:val="D9691E"/>
                <w:sz w:val="19"/>
                <w:szCs w:val="19"/>
              </w:rPr>
              <w:t xml:space="preserve">High</w:t>
            </w:r>
          </w:p>
        </w:tc>
        <w:tc>
          <w:tcPr>
            <w:tcW w:type="dxa" w:w="1800"/>
            <w:shd w:fill="F4F6F8" w:color="auto" w:val="clear"/>
            <w:tcMar>
              <w:top w:type="dxa" w:w="50"/>
              <w:left w:type="dxa" w:w="100"/>
              <w:bottom w:type="dxa" w:w="50"/>
              <w:right w:type="dxa" w:w="100"/>
            </w:tcMar>
            <w:vAlign w:val="center"/>
          </w:tcPr>
          <w:p>
            <w:pPr>
              <w:spacing w:after="0"/>
            </w:pPr>
            <w:r>
              <w:rPr>
                <w:rFonts w:ascii="Calibri" w:cs="Calibri" w:eastAsia="Calibri" w:hAnsi="Calibri"/>
                <w:b/>
                <w:bCs/>
                <w:color w:val="C0392B"/>
                <w:sz w:val="18"/>
                <w:szCs w:val="18"/>
              </w:rPr>
              <w:t xml:space="preserve">Open</w:t>
            </w:r>
          </w:p>
        </w:tc>
      </w:tr>
      <w:tr>
        <w:tc>
          <w:tcPr>
            <w:tcW w:type="dxa" w:w="620"/>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9</w:t>
            </w:r>
          </w:p>
        </w:tc>
        <w:tc>
          <w:tcPr>
            <w:tcW w:type="dxa" w:w="470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No idempotency — double-submits duplicate rows</w:t>
            </w:r>
          </w:p>
        </w:tc>
        <w:tc>
          <w:tcPr>
            <w:tcW w:type="dxa" w:w="156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Both</w:t>
            </w:r>
          </w:p>
        </w:tc>
        <w:tc>
          <w:tcPr>
            <w:tcW w:type="dxa" w:w="1400"/>
            <w:tcMar>
              <w:top w:type="dxa" w:w="50"/>
              <w:left w:type="dxa" w:w="100"/>
              <w:bottom w:type="dxa" w:w="50"/>
              <w:right w:type="dxa" w:w="100"/>
            </w:tcMar>
            <w:vAlign w:val="center"/>
          </w:tcPr>
          <w:p>
            <w:pPr>
              <w:spacing w:after="0"/>
            </w:pPr>
            <w:r>
              <w:rPr>
                <w:rFonts w:ascii="Calibri" w:cs="Calibri" w:eastAsia="Calibri" w:hAnsi="Calibri"/>
                <w:b/>
                <w:bCs/>
                <w:color w:val="D9691E"/>
                <w:sz w:val="19"/>
                <w:szCs w:val="19"/>
              </w:rPr>
              <w:t xml:space="preserve">High</w:t>
            </w:r>
          </w:p>
        </w:tc>
        <w:tc>
          <w:tcPr>
            <w:tcW w:type="dxa" w:w="1800"/>
            <w:tcMar>
              <w:top w:type="dxa" w:w="50"/>
              <w:left w:type="dxa" w:w="100"/>
              <w:bottom w:type="dxa" w:w="50"/>
              <w:right w:type="dxa" w:w="100"/>
            </w:tcMar>
            <w:vAlign w:val="center"/>
          </w:tcPr>
          <w:p>
            <w:pPr>
              <w:spacing w:after="0"/>
            </w:pPr>
            <w:r>
              <w:rPr>
                <w:rFonts w:ascii="Calibri" w:cs="Calibri" w:eastAsia="Calibri" w:hAnsi="Calibri"/>
                <w:b/>
                <w:bCs/>
                <w:color w:val="C0392B"/>
                <w:sz w:val="18"/>
                <w:szCs w:val="18"/>
              </w:rPr>
              <w:t xml:space="preserve">Open</w:t>
            </w:r>
          </w:p>
        </w:tc>
      </w:tr>
      <w:tr>
        <w:tc>
          <w:tcPr>
            <w:tcW w:type="dxa" w:w="620"/>
            <w:shd w:fill="F4F6F8" w:color="auto" w:val="clear"/>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10</w:t>
            </w:r>
          </w:p>
        </w:tc>
        <w:tc>
          <w:tcPr>
            <w:tcW w:type="dxa" w:w="470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Two money models: float on client, paise on server</w:t>
            </w:r>
          </w:p>
        </w:tc>
        <w:tc>
          <w:tcPr>
            <w:tcW w:type="dxa" w:w="156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Both</w:t>
            </w:r>
          </w:p>
        </w:tc>
        <w:tc>
          <w:tcPr>
            <w:tcW w:type="dxa" w:w="1400"/>
            <w:shd w:fill="F4F6F8" w:color="auto" w:val="clear"/>
            <w:tcMar>
              <w:top w:type="dxa" w:w="50"/>
              <w:left w:type="dxa" w:w="100"/>
              <w:bottom w:type="dxa" w:w="50"/>
              <w:right w:type="dxa" w:w="100"/>
            </w:tcMar>
            <w:vAlign w:val="center"/>
          </w:tcPr>
          <w:p>
            <w:pPr>
              <w:spacing w:after="0"/>
            </w:pPr>
            <w:r>
              <w:rPr>
                <w:rFonts w:ascii="Calibri" w:cs="Calibri" w:eastAsia="Calibri" w:hAnsi="Calibri"/>
                <w:b/>
                <w:bCs/>
                <w:color w:val="D9691E"/>
                <w:sz w:val="19"/>
                <w:szCs w:val="19"/>
              </w:rPr>
              <w:t xml:space="preserve">High</w:t>
            </w:r>
          </w:p>
        </w:tc>
        <w:tc>
          <w:tcPr>
            <w:tcW w:type="dxa" w:w="1800"/>
            <w:shd w:fill="F4F6F8" w:color="auto" w:val="clear"/>
            <w:tcMar>
              <w:top w:type="dxa" w:w="50"/>
              <w:left w:type="dxa" w:w="100"/>
              <w:bottom w:type="dxa" w:w="50"/>
              <w:right w:type="dxa" w:w="100"/>
            </w:tcMar>
            <w:vAlign w:val="center"/>
          </w:tcPr>
          <w:p>
            <w:pPr>
              <w:spacing w:after="0"/>
            </w:pPr>
            <w:r>
              <w:rPr>
                <w:rFonts w:ascii="Calibri" w:cs="Calibri" w:eastAsia="Calibri" w:hAnsi="Calibri"/>
                <w:b/>
                <w:bCs/>
                <w:color w:val="C0392B"/>
                <w:sz w:val="18"/>
                <w:szCs w:val="18"/>
              </w:rPr>
              <w:t xml:space="preserve">Open</w:t>
            </w:r>
          </w:p>
        </w:tc>
      </w:tr>
      <w:tr>
        <w:tc>
          <w:tcPr>
            <w:tcW w:type="dxa" w:w="620"/>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11</w:t>
            </w:r>
          </w:p>
        </w:tc>
        <w:tc>
          <w:tcPr>
            <w:tcW w:type="dxa" w:w="470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Cross-tab / stored data trusted without validation</w:t>
            </w:r>
          </w:p>
        </w:tc>
        <w:tc>
          <w:tcPr>
            <w:tcW w:type="dxa" w:w="156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Prototype</w:t>
            </w:r>
          </w:p>
        </w:tc>
        <w:tc>
          <w:tcPr>
            <w:tcW w:type="dxa" w:w="1400"/>
            <w:tcMar>
              <w:top w:type="dxa" w:w="50"/>
              <w:left w:type="dxa" w:w="100"/>
              <w:bottom w:type="dxa" w:w="50"/>
              <w:right w:type="dxa" w:w="100"/>
            </w:tcMar>
            <w:vAlign w:val="center"/>
          </w:tcPr>
          <w:p>
            <w:pPr>
              <w:spacing w:after="0"/>
            </w:pPr>
            <w:r>
              <w:rPr>
                <w:rFonts w:ascii="Calibri" w:cs="Calibri" w:eastAsia="Calibri" w:hAnsi="Calibri"/>
                <w:b/>
                <w:bCs/>
                <w:color w:val="B7791F"/>
                <w:sz w:val="19"/>
                <w:szCs w:val="19"/>
              </w:rPr>
              <w:t xml:space="preserve">Medium</w:t>
            </w:r>
          </w:p>
        </w:tc>
        <w:tc>
          <w:tcPr>
            <w:tcW w:type="dxa" w:w="1800"/>
            <w:tcMar>
              <w:top w:type="dxa" w:w="50"/>
              <w:left w:type="dxa" w:w="100"/>
              <w:bottom w:type="dxa" w:w="50"/>
              <w:right w:type="dxa" w:w="100"/>
            </w:tcMar>
            <w:vAlign w:val="center"/>
          </w:tcPr>
          <w:p>
            <w:pPr>
              <w:spacing w:after="0"/>
            </w:pPr>
            <w:r>
              <w:rPr>
                <w:rFonts w:ascii="Calibri" w:cs="Calibri" w:eastAsia="Calibri" w:hAnsi="Calibri"/>
                <w:b/>
                <w:bCs/>
                <w:color w:val="C0392B"/>
                <w:sz w:val="18"/>
                <w:szCs w:val="18"/>
              </w:rPr>
              <w:t xml:space="preserve">Open</w:t>
            </w:r>
          </w:p>
        </w:tc>
      </w:tr>
      <w:tr>
        <w:tc>
          <w:tcPr>
            <w:tcW w:type="dxa" w:w="620"/>
            <w:shd w:fill="F4F6F8" w:color="auto" w:val="clear"/>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12</w:t>
            </w:r>
          </w:p>
        </w:tc>
        <w:tc>
          <w:tcPr>
            <w:tcW w:type="dxa" w:w="470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API + migration 005 written but never run</w:t>
            </w:r>
          </w:p>
        </w:tc>
        <w:tc>
          <w:tcPr>
            <w:tcW w:type="dxa" w:w="156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API</w:t>
            </w:r>
          </w:p>
        </w:tc>
        <w:tc>
          <w:tcPr>
            <w:tcW w:type="dxa" w:w="1400"/>
            <w:shd w:fill="F4F6F8" w:color="auto" w:val="clear"/>
            <w:tcMar>
              <w:top w:type="dxa" w:w="50"/>
              <w:left w:type="dxa" w:w="100"/>
              <w:bottom w:type="dxa" w:w="50"/>
              <w:right w:type="dxa" w:w="100"/>
            </w:tcMar>
            <w:vAlign w:val="center"/>
          </w:tcPr>
          <w:p>
            <w:pPr>
              <w:spacing w:after="0"/>
            </w:pPr>
            <w:r>
              <w:rPr>
                <w:rFonts w:ascii="Calibri" w:cs="Calibri" w:eastAsia="Calibri" w:hAnsi="Calibri"/>
                <w:b/>
                <w:bCs/>
                <w:color w:val="B7791F"/>
                <w:sz w:val="19"/>
                <w:szCs w:val="19"/>
              </w:rPr>
              <w:t xml:space="preserve">Medium</w:t>
            </w:r>
          </w:p>
        </w:tc>
        <w:tc>
          <w:tcPr>
            <w:tcW w:type="dxa" w:w="1800"/>
            <w:shd w:fill="F4F6F8" w:color="auto" w:val="clear"/>
            <w:tcMar>
              <w:top w:type="dxa" w:w="50"/>
              <w:left w:type="dxa" w:w="100"/>
              <w:bottom w:type="dxa" w:w="50"/>
              <w:right w:type="dxa" w:w="100"/>
            </w:tcMar>
            <w:vAlign w:val="center"/>
          </w:tcPr>
          <w:p>
            <w:pPr>
              <w:spacing w:after="0"/>
            </w:pPr>
            <w:r>
              <w:rPr>
                <w:rFonts w:ascii="Calibri" w:cs="Calibri" w:eastAsia="Calibri" w:hAnsi="Calibri"/>
                <w:b/>
                <w:bCs/>
                <w:color w:val="C0392B"/>
                <w:sz w:val="18"/>
                <w:szCs w:val="18"/>
              </w:rPr>
              <w:t xml:space="preserve">Open</w:t>
            </w:r>
          </w:p>
        </w:tc>
      </w:tr>
      <w:tr>
        <w:tc>
          <w:tcPr>
            <w:tcW w:type="dxa" w:w="620"/>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13</w:t>
            </w:r>
          </w:p>
        </w:tc>
        <w:tc>
          <w:tcPr>
            <w:tcW w:type="dxa" w:w="470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No transport security (plain HTTP locally)</w:t>
            </w:r>
          </w:p>
        </w:tc>
        <w:tc>
          <w:tcPr>
            <w:tcW w:type="dxa" w:w="156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Infra</w:t>
            </w:r>
          </w:p>
        </w:tc>
        <w:tc>
          <w:tcPr>
            <w:tcW w:type="dxa" w:w="1400"/>
            <w:tcMar>
              <w:top w:type="dxa" w:w="50"/>
              <w:left w:type="dxa" w:w="100"/>
              <w:bottom w:type="dxa" w:w="50"/>
              <w:right w:type="dxa" w:w="100"/>
            </w:tcMar>
            <w:vAlign w:val="center"/>
          </w:tcPr>
          <w:p>
            <w:pPr>
              <w:spacing w:after="0"/>
            </w:pPr>
            <w:r>
              <w:rPr>
                <w:rFonts w:ascii="Calibri" w:cs="Calibri" w:eastAsia="Calibri" w:hAnsi="Calibri"/>
                <w:b/>
                <w:bCs/>
                <w:color w:val="B7791F"/>
                <w:sz w:val="19"/>
                <w:szCs w:val="19"/>
              </w:rPr>
              <w:t xml:space="preserve">Medium</w:t>
            </w:r>
          </w:p>
        </w:tc>
        <w:tc>
          <w:tcPr>
            <w:tcW w:type="dxa" w:w="1800"/>
            <w:tcMar>
              <w:top w:type="dxa" w:w="50"/>
              <w:left w:type="dxa" w:w="100"/>
              <w:bottom w:type="dxa" w:w="50"/>
              <w:right w:type="dxa" w:w="100"/>
            </w:tcMar>
            <w:vAlign w:val="center"/>
          </w:tcPr>
          <w:p>
            <w:pPr>
              <w:spacing w:after="0"/>
            </w:pPr>
            <w:r>
              <w:rPr>
                <w:rFonts w:ascii="Calibri" w:cs="Calibri" w:eastAsia="Calibri" w:hAnsi="Calibri"/>
                <w:b/>
                <w:bCs/>
                <w:color w:val="C0392B"/>
                <w:sz w:val="18"/>
                <w:szCs w:val="18"/>
              </w:rPr>
              <w:t xml:space="preserve">Open</w:t>
            </w:r>
          </w:p>
        </w:tc>
      </w:tr>
      <w:tr>
        <w:tc>
          <w:tcPr>
            <w:tcW w:type="dxa" w:w="620"/>
            <w:shd w:fill="F4F6F8" w:color="auto" w:val="clear"/>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14</w:t>
            </w:r>
          </w:p>
        </w:tc>
        <w:tc>
          <w:tcPr>
            <w:tcW w:type="dxa" w:w="470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"Unauthorized stop" is a rule, not a geofence</w:t>
            </w:r>
          </w:p>
        </w:tc>
        <w:tc>
          <w:tcPr>
            <w:tcW w:type="dxa" w:w="156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Design</w:t>
            </w:r>
          </w:p>
        </w:tc>
        <w:tc>
          <w:tcPr>
            <w:tcW w:type="dxa" w:w="1400"/>
            <w:shd w:fill="F4F6F8" w:color="auto" w:val="clear"/>
            <w:tcMar>
              <w:top w:type="dxa" w:w="50"/>
              <w:left w:type="dxa" w:w="100"/>
              <w:bottom w:type="dxa" w:w="50"/>
              <w:right w:type="dxa" w:w="100"/>
            </w:tcMar>
            <w:vAlign w:val="center"/>
          </w:tcPr>
          <w:p>
            <w:pPr>
              <w:spacing w:after="0"/>
            </w:pPr>
            <w:r>
              <w:rPr>
                <w:rFonts w:ascii="Calibri" w:cs="Calibri" w:eastAsia="Calibri" w:hAnsi="Calibri"/>
                <w:b/>
                <w:bCs/>
                <w:color w:val="B7791F"/>
                <w:sz w:val="19"/>
                <w:szCs w:val="19"/>
              </w:rPr>
              <w:t xml:space="preserve">Medium</w:t>
            </w:r>
          </w:p>
        </w:tc>
        <w:tc>
          <w:tcPr>
            <w:tcW w:type="dxa" w:w="1800"/>
            <w:shd w:fill="F4F6F8" w:color="auto" w:val="clear"/>
            <w:tcMar>
              <w:top w:type="dxa" w:w="50"/>
              <w:left w:type="dxa" w:w="100"/>
              <w:bottom w:type="dxa" w:w="50"/>
              <w:right w:type="dxa" w:w="100"/>
            </w:tcMar>
            <w:vAlign w:val="center"/>
          </w:tcPr>
          <w:p>
            <w:pPr>
              <w:spacing w:after="0"/>
            </w:pPr>
            <w:r>
              <w:rPr>
                <w:rFonts w:ascii="Calibri" w:cs="Calibri" w:eastAsia="Calibri" w:hAnsi="Calibri"/>
                <w:b/>
                <w:bCs/>
                <w:color w:val="B7791F"/>
                <w:sz w:val="18"/>
                <w:szCs w:val="18"/>
              </w:rPr>
              <w:t xml:space="preserve">Planned</w:t>
            </w:r>
          </w:p>
        </w:tc>
      </w:tr>
      <w:tr>
        <w:tc>
          <w:tcPr>
            <w:tcW w:type="dxa" w:w="620"/>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15</w:t>
            </w:r>
          </w:p>
        </w:tc>
        <w:tc>
          <w:tcPr>
            <w:tcW w:type="dxa" w:w="470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No rate limiting on the future GPS ingest</w:t>
            </w:r>
          </w:p>
        </w:tc>
        <w:tc>
          <w:tcPr>
            <w:tcW w:type="dxa" w:w="156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Design</w:t>
            </w:r>
          </w:p>
        </w:tc>
        <w:tc>
          <w:tcPr>
            <w:tcW w:type="dxa" w:w="1400"/>
            <w:tcMar>
              <w:top w:type="dxa" w:w="50"/>
              <w:left w:type="dxa" w:w="100"/>
              <w:bottom w:type="dxa" w:w="50"/>
              <w:right w:type="dxa" w:w="100"/>
            </w:tcMar>
            <w:vAlign w:val="center"/>
          </w:tcPr>
          <w:p>
            <w:pPr>
              <w:spacing w:after="0"/>
            </w:pPr>
            <w:r>
              <w:rPr>
                <w:rFonts w:ascii="Calibri" w:cs="Calibri" w:eastAsia="Calibri" w:hAnsi="Calibri"/>
                <w:b/>
                <w:bCs/>
                <w:color w:val="B7791F"/>
                <w:sz w:val="19"/>
                <w:szCs w:val="19"/>
              </w:rPr>
              <w:t xml:space="preserve">Medium</w:t>
            </w:r>
          </w:p>
        </w:tc>
        <w:tc>
          <w:tcPr>
            <w:tcW w:type="dxa" w:w="1800"/>
            <w:tcMar>
              <w:top w:type="dxa" w:w="50"/>
              <w:left w:type="dxa" w:w="100"/>
              <w:bottom w:type="dxa" w:w="50"/>
              <w:right w:type="dxa" w:w="100"/>
            </w:tcMar>
            <w:vAlign w:val="center"/>
          </w:tcPr>
          <w:p>
            <w:pPr>
              <w:spacing w:after="0"/>
            </w:pPr>
            <w:r>
              <w:rPr>
                <w:rFonts w:ascii="Calibri" w:cs="Calibri" w:eastAsia="Calibri" w:hAnsi="Calibri"/>
                <w:b/>
                <w:bCs/>
                <w:color w:val="B7791F"/>
                <w:sz w:val="18"/>
                <w:szCs w:val="18"/>
              </w:rPr>
              <w:t xml:space="preserve">Planned</w:t>
            </w:r>
          </w:p>
        </w:tc>
      </w:tr>
      <w:tr>
        <w:tc>
          <w:tcPr>
            <w:tcW w:type="dxa" w:w="620"/>
            <w:shd w:fill="F4F6F8" w:color="auto" w:val="clear"/>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16</w:t>
            </w:r>
          </w:p>
        </w:tc>
        <w:tc>
          <w:tcPr>
            <w:tcW w:type="dxa" w:w="470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Bill/receipt blobs are session-only object URLs</w:t>
            </w:r>
          </w:p>
        </w:tc>
        <w:tc>
          <w:tcPr>
            <w:tcW w:type="dxa" w:w="156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Prototype</w:t>
            </w:r>
          </w:p>
        </w:tc>
        <w:tc>
          <w:tcPr>
            <w:tcW w:type="dxa" w:w="1400"/>
            <w:shd w:fill="F4F6F8" w:color="auto" w:val="clear"/>
            <w:tcMar>
              <w:top w:type="dxa" w:w="50"/>
              <w:left w:type="dxa" w:w="100"/>
              <w:bottom w:type="dxa" w:w="50"/>
              <w:right w:type="dxa" w:w="100"/>
            </w:tcMar>
            <w:vAlign w:val="center"/>
          </w:tcPr>
          <w:p>
            <w:pPr>
              <w:spacing w:after="0"/>
            </w:pPr>
            <w:r>
              <w:rPr>
                <w:rFonts w:ascii="Calibri" w:cs="Calibri" w:eastAsia="Calibri" w:hAnsi="Calibri"/>
                <w:b/>
                <w:bCs/>
                <w:color w:val="15803D"/>
                <w:sz w:val="19"/>
                <w:szCs w:val="19"/>
              </w:rPr>
              <w:t xml:space="preserve">Low</w:t>
            </w:r>
          </w:p>
        </w:tc>
        <w:tc>
          <w:tcPr>
            <w:tcW w:type="dxa" w:w="1800"/>
            <w:shd w:fill="F4F6F8" w:color="auto" w:val="clear"/>
            <w:tcMar>
              <w:top w:type="dxa" w:w="50"/>
              <w:left w:type="dxa" w:w="100"/>
              <w:bottom w:type="dxa" w:w="50"/>
              <w:right w:type="dxa" w:w="100"/>
            </w:tcMar>
            <w:vAlign w:val="center"/>
          </w:tcPr>
          <w:p>
            <w:pPr>
              <w:spacing w:after="0"/>
            </w:pPr>
            <w:r>
              <w:rPr>
                <w:rFonts w:ascii="Calibri" w:cs="Calibri" w:eastAsia="Calibri" w:hAnsi="Calibri"/>
                <w:b/>
                <w:bCs/>
                <w:color w:val="15803D"/>
                <w:sz w:val="18"/>
                <w:szCs w:val="18"/>
              </w:rPr>
              <w:t xml:space="preserve">Mitigated in API</w:t>
            </w:r>
          </w:p>
        </w:tc>
      </w:tr>
      <w:tr>
        <w:tc>
          <w:tcPr>
            <w:tcW w:type="dxa" w:w="620"/>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17</w:t>
            </w:r>
          </w:p>
        </w:tc>
        <w:tc>
          <w:tcPr>
            <w:tcW w:type="dxa" w:w="470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Dead driver code shipped in the manager site</w:t>
            </w:r>
          </w:p>
        </w:tc>
        <w:tc>
          <w:tcPr>
            <w:tcW w:type="dxa" w:w="156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Prototype</w:t>
            </w:r>
          </w:p>
        </w:tc>
        <w:tc>
          <w:tcPr>
            <w:tcW w:type="dxa" w:w="1400"/>
            <w:tcMar>
              <w:top w:type="dxa" w:w="50"/>
              <w:left w:type="dxa" w:w="100"/>
              <w:bottom w:type="dxa" w:w="50"/>
              <w:right w:type="dxa" w:w="100"/>
            </w:tcMar>
            <w:vAlign w:val="center"/>
          </w:tcPr>
          <w:p>
            <w:pPr>
              <w:spacing w:after="0"/>
            </w:pPr>
            <w:r>
              <w:rPr>
                <w:rFonts w:ascii="Calibri" w:cs="Calibri" w:eastAsia="Calibri" w:hAnsi="Calibri"/>
                <w:b/>
                <w:bCs/>
                <w:color w:val="15803D"/>
                <w:sz w:val="19"/>
                <w:szCs w:val="19"/>
              </w:rPr>
              <w:t xml:space="preserve">Low</w:t>
            </w:r>
          </w:p>
        </w:tc>
        <w:tc>
          <w:tcPr>
            <w:tcW w:type="dxa" w:w="1800"/>
            <w:tcMar>
              <w:top w:type="dxa" w:w="50"/>
              <w:left w:type="dxa" w:w="100"/>
              <w:bottom w:type="dxa" w:w="50"/>
              <w:right w:type="dxa" w:w="100"/>
            </w:tcMar>
            <w:vAlign w:val="center"/>
          </w:tcPr>
          <w:p>
            <w:pPr>
              <w:spacing w:after="0"/>
            </w:pPr>
            <w:r>
              <w:rPr>
                <w:rFonts w:ascii="Calibri" w:cs="Calibri" w:eastAsia="Calibri" w:hAnsi="Calibri"/>
                <w:b/>
                <w:bCs/>
                <w:color w:val="C0392B"/>
                <w:sz w:val="18"/>
                <w:szCs w:val="18"/>
              </w:rPr>
              <w:t xml:space="preserve">Open</w:t>
            </w:r>
          </w:p>
        </w:tc>
      </w:tr>
    </w:tbl>
    <w:p>
      <w:pPr>
        <w:pStyle w:val="Heading1"/>
        <w:pBdr>
          <w:bottom w:val="single" w:color="2563EB" w:sz="8" w:space="4"/>
        </w:pBdr>
        <w:spacing w:after="120" w:before="300"/>
      </w:pPr>
      <w:r>
        <w:rPr>
          <w:rFonts w:ascii="Calibri" w:cs="Calibri" w:eastAsia="Calibri" w:hAnsi="Calibri"/>
          <w:b/>
          <w:bCs/>
          <w:color w:val="1F2A44"/>
          <w:sz w:val="30"/>
          <w:szCs w:val="30"/>
        </w:rPr>
        <w:t xml:space="preserve">4. Critical Findings</w:t>
      </w:r>
    </w:p>
    <w:p>
      <w:pPr>
        <w:pStyle w:val="Heading3"/>
        <w:spacing w:after="60" w:before="160"/>
      </w:pPr>
      <w:r>
        <w:rPr>
          <w:rFonts w:ascii="Calibri" w:cs="Calibri" w:eastAsia="Calibri" w:hAnsi="Calibri"/>
          <w:b/>
          <w:bCs/>
          <w:color w:val="1F2933"/>
          <w:sz w:val="22"/>
          <w:szCs w:val="22"/>
        </w:rPr>
        <w:t xml:space="preserve">SEC-01  Clients have no authentication</w:t>
      </w:r>
    </w:p>
    <w:p>
      <w:pPr>
        <w:spacing w:after="60" w:line="276"/>
      </w:pPr>
      <w:r>
        <w:rPr>
          <w:rFonts w:ascii="Calibri" w:cs="Calibri" w:eastAsia="Calibri" w:hAnsi="Calibri"/>
          <w:b/>
          <w:bCs/>
          <w:color w:val="C0392B"/>
          <w:sz w:val="21"/>
          <w:szCs w:val="21"/>
        </w:rPr>
        <w:t xml:space="preserve">Critical</w:t>
      </w:r>
      <w:r>
        <w:rPr>
          <w:rFonts w:ascii="Calibri" w:cs="Calibri" w:eastAsia="Calibri" w:hAnsi="Calibri"/>
          <w:color w:val="1F2933"/>
          <w:sz w:val="21"/>
          <w:szCs w:val="21"/>
        </w:rPr>
        <w:t xml:space="preserve">   ·   Layer: Prototype (both clients + server.py)   ·   Status: Open</w:t>
      </w:r>
    </w:p>
    <w:p>
      <w:pPr>
        <w:spacing w:after="60" w:line="276"/>
      </w:pPr>
      <w:r>
        <w:rPr>
          <w:rFonts w:ascii="Calibri" w:cs="Calibri" w:eastAsia="Calibri" w:hAnsi="Calibri"/>
          <w:b/>
          <w:bCs/>
          <w:color w:val="1F2A44"/>
          <w:sz w:val="21"/>
          <w:szCs w:val="21"/>
        </w:rPr>
        <w:t xml:space="preserve">What: </w:t>
      </w:r>
      <w:r>
        <w:rPr>
          <w:rFonts w:ascii="Calibri" w:cs="Calibri" w:eastAsia="Calibri" w:hAnsi="Calibri"/>
          <w:color w:val="1F2933"/>
          <w:sz w:val="21"/>
          <w:szCs w:val="21"/>
        </w:rPr>
        <w:t xml:space="preserve">Neither the manager website nor the driver app has a login. The manager console is wide open, and the driver "identity" is simply whatever Trip ID they type. server.py serves both pages to anyone on the network with no credential check.</w:t>
      </w:r>
    </w:p>
    <w:p>
      <w:pPr>
        <w:spacing w:after="60" w:line="276"/>
      </w:pPr>
      <w:r>
        <w:rPr>
          <w:rFonts w:ascii="Calibri" w:cs="Calibri" w:eastAsia="Calibri" w:hAnsi="Calibri"/>
          <w:b/>
          <w:bCs/>
          <w:color w:val="C0392B"/>
          <w:sz w:val="21"/>
          <w:szCs w:val="21"/>
        </w:rPr>
        <w:t xml:space="preserve">How it is exploited: </w:t>
      </w:r>
      <w:r>
        <w:rPr>
          <w:rFonts w:ascii="Calibri" w:cs="Calibri" w:eastAsia="Calibri" w:hAnsi="Calibri"/>
          <w:color w:val="1F2933"/>
          <w:sz w:val="21"/>
          <w:szCs w:val="21"/>
        </w:rPr>
        <w:t xml:space="preserve">Anyone who loads the URL becomes a full manager — schedule trips, alter costs, complete anyone’s trip, and read every driver’s phone number and PII. The driver app treats a typed Trip ID as the only gate.</w:t>
      </w:r>
    </w:p>
    <w:p>
      <w:pPr>
        <w:spacing w:after="120" w:line="276"/>
      </w:pPr>
      <w:r>
        <w:rPr>
          <w:rFonts w:ascii="Calibri" w:cs="Calibri" w:eastAsia="Calibri" w:hAnsi="Calibri"/>
          <w:b/>
          <w:bCs/>
          <w:color w:val="15803D"/>
          <w:sz w:val="21"/>
          <w:szCs w:val="21"/>
        </w:rPr>
        <w:t xml:space="preserve">Recommended fix: </w:t>
      </w:r>
      <w:r>
        <w:rPr>
          <w:rFonts w:ascii="Calibri" w:cs="Calibri" w:eastAsia="Calibri" w:hAnsi="Calibri"/>
          <w:color w:val="1F2933"/>
          <w:sz w:val="21"/>
          <w:szCs w:val="21"/>
        </w:rPr>
        <w:t xml:space="preserve">The API already implements JWT + RBAC + device binding. Repoint the clients at it and require login before any action; no request should succeed without a valid access token whose role permits it, and a driver may only open trips where the driver is themselves.</w:t>
      </w:r>
    </w:p>
    <w:p>
      <w:pPr>
        <w:pStyle w:val="Heading3"/>
        <w:spacing w:after="60" w:before="160"/>
      </w:pPr>
      <w:r>
        <w:rPr>
          <w:rFonts w:ascii="Calibri" w:cs="Calibri" w:eastAsia="Calibri" w:hAnsi="Calibri"/>
          <w:b/>
          <w:bCs/>
          <w:color w:val="1F2933"/>
          <w:sz w:val="22"/>
          <w:szCs w:val="22"/>
        </w:rPr>
        <w:t xml:space="preserve">SEC-02  All data stored in plaintext</w:t>
      </w:r>
    </w:p>
    <w:p>
      <w:pPr>
        <w:spacing w:after="60" w:line="276"/>
      </w:pPr>
      <w:r>
        <w:rPr>
          <w:rFonts w:ascii="Calibri" w:cs="Calibri" w:eastAsia="Calibri" w:hAnsi="Calibri"/>
          <w:b/>
          <w:bCs/>
          <w:color w:val="C0392B"/>
          <w:sz w:val="21"/>
          <w:szCs w:val="21"/>
        </w:rPr>
        <w:t xml:space="preserve">Critical</w:t>
      </w:r>
      <w:r>
        <w:rPr>
          <w:rFonts w:ascii="Calibri" w:cs="Calibri" w:eastAsia="Calibri" w:hAnsi="Calibri"/>
          <w:color w:val="1F2933"/>
          <w:sz w:val="21"/>
          <w:szCs w:val="21"/>
        </w:rPr>
        <w:t xml:space="preserve">   ·   Layer: Prototype (store.js / data/store.json)   ·   Status: Open</w:t>
      </w:r>
    </w:p>
    <w:p>
      <w:pPr>
        <w:spacing w:after="60" w:line="276"/>
      </w:pPr>
      <w:r>
        <w:rPr>
          <w:rFonts w:ascii="Calibri" w:cs="Calibri" w:eastAsia="Calibri" w:hAnsi="Calibri"/>
          <w:b/>
          <w:bCs/>
          <w:color w:val="1F2A44"/>
          <w:sz w:val="21"/>
          <w:szCs w:val="21"/>
        </w:rPr>
        <w:t xml:space="preserve">What: </w:t>
      </w:r>
      <w:r>
        <w:rPr>
          <w:rFonts w:ascii="Calibri" w:cs="Calibri" w:eastAsia="Calibri" w:hAnsi="Calibri"/>
          <w:color w:val="1F2933"/>
          <w:sz w:val="21"/>
          <w:szCs w:val="21"/>
        </w:rPr>
        <w:t xml:space="preserve">The shared store is unencrypted — trips, driver phone numbers, expenses, everything — in browser localStorage and in data/store.json on the serving computer. There is no integrity check when data is loaded back in.</w:t>
      </w:r>
    </w:p>
    <w:p>
      <w:pPr>
        <w:spacing w:after="60" w:line="276"/>
      </w:pPr>
      <w:r>
        <w:rPr>
          <w:rFonts w:ascii="Calibri" w:cs="Calibri" w:eastAsia="Calibri" w:hAnsi="Calibri"/>
          <w:b/>
          <w:bCs/>
          <w:color w:val="C0392B"/>
          <w:sz w:val="21"/>
          <w:szCs w:val="21"/>
        </w:rPr>
        <w:t xml:space="preserve">How it is exploited: </w:t>
      </w:r>
      <w:r>
        <w:rPr>
          <w:rFonts w:ascii="Calibri" w:cs="Calibri" w:eastAsia="Calibri" w:hAnsi="Calibri"/>
          <w:color w:val="1F2933"/>
          <w:sz w:val="21"/>
          <w:szCs w:val="21"/>
        </w:rPr>
        <w:t xml:space="preserve">A single XSS, a malicious browser extension, or anyone with file access to the computer can read or rewrite the entire fleet’s data. Injected data is accepted verbatim by both clients.</w:t>
      </w:r>
    </w:p>
    <w:p>
      <w:pPr>
        <w:spacing w:after="120" w:line="276"/>
      </w:pPr>
      <w:r>
        <w:rPr>
          <w:rFonts w:ascii="Calibri" w:cs="Calibri" w:eastAsia="Calibri" w:hAnsi="Calibri"/>
          <w:b/>
          <w:bCs/>
          <w:color w:val="15803D"/>
          <w:sz w:val="21"/>
          <w:szCs w:val="21"/>
        </w:rPr>
        <w:t xml:space="preserve">Recommended fix: </w:t>
      </w:r>
      <w:r>
        <w:rPr>
          <w:rFonts w:ascii="Calibri" w:cs="Calibri" w:eastAsia="Calibri" w:hAnsi="Calibri"/>
          <w:color w:val="1F2933"/>
          <w:sz w:val="21"/>
          <w:szCs w:val="21"/>
        </w:rPr>
        <w:t xml:space="preserve">Treat the prototype as demo-only and never load real driver PII into it. The real store is the API/DB with data encrypted at rest and access gated by token. Add a strict Content-Security-Policy and audit every innerHTML sink (see SEC-11).</w:t>
      </w:r>
    </w:p>
    <w:p>
      <w:pPr>
        <w:pStyle w:val="Heading3"/>
        <w:spacing w:after="60" w:before="160"/>
      </w:pPr>
      <w:r>
        <w:rPr>
          <w:rFonts w:ascii="Calibri" w:cs="Calibri" w:eastAsia="Calibri" w:hAnsi="Calibri"/>
          <w:b/>
          <w:bCs/>
          <w:color w:val="1F2933"/>
          <w:sz w:val="22"/>
          <w:szCs w:val="22"/>
        </w:rPr>
        <w:t xml:space="preserve">SEC-03  Expenses accepted on a completed trip</w:t>
      </w:r>
    </w:p>
    <w:p>
      <w:pPr>
        <w:spacing w:after="60" w:line="276"/>
      </w:pPr>
      <w:r>
        <w:rPr>
          <w:rFonts w:ascii="Calibri" w:cs="Calibri" w:eastAsia="Calibri" w:hAnsi="Calibri"/>
          <w:b/>
          <w:bCs/>
          <w:color w:val="C0392B"/>
          <w:sz w:val="21"/>
          <w:szCs w:val="21"/>
        </w:rPr>
        <w:t xml:space="preserve">Critical</w:t>
      </w:r>
      <w:r>
        <w:rPr>
          <w:rFonts w:ascii="Calibri" w:cs="Calibri" w:eastAsia="Calibri" w:hAnsi="Calibri"/>
          <w:color w:val="1F2933"/>
          <w:sz w:val="21"/>
          <w:szCs w:val="21"/>
        </w:rPr>
        <w:t xml:space="preserve">   ·   Layer: API (TripsService.logExpense)   ·   Status: Fix designed, not yet verified (API unrun)</w:t>
      </w:r>
    </w:p>
    <w:p>
      <w:pPr>
        <w:spacing w:after="60" w:line="276"/>
      </w:pPr>
      <w:r>
        <w:rPr>
          <w:rFonts w:ascii="Calibri" w:cs="Calibri" w:eastAsia="Calibri" w:hAnsi="Calibri"/>
          <w:b/>
          <w:bCs/>
          <w:color w:val="1F2A44"/>
          <w:sz w:val="21"/>
          <w:szCs w:val="21"/>
        </w:rPr>
        <w:t xml:space="preserve">What: </w:t>
      </w:r>
      <w:r>
        <w:rPr>
          <w:rFonts w:ascii="Calibri" w:cs="Calibri" w:eastAsia="Calibri" w:hAnsi="Calibri"/>
          <w:color w:val="1F2933"/>
          <w:sz w:val="21"/>
          <w:szCs w:val="21"/>
        </w:rPr>
        <w:t xml:space="preserve">logExpense only blocks trips with status cancelled. A completed trip still accepts new expense lines.</w:t>
      </w:r>
    </w:p>
    <w:p>
      <w:pPr>
        <w:spacing w:after="60" w:line="276"/>
      </w:pPr>
      <w:r>
        <w:rPr>
          <w:rFonts w:ascii="Calibri" w:cs="Calibri" w:eastAsia="Calibri" w:hAnsi="Calibri"/>
          <w:b/>
          <w:bCs/>
          <w:color w:val="C0392B"/>
          <w:sz w:val="21"/>
          <w:szCs w:val="21"/>
        </w:rPr>
        <w:t xml:space="preserve">How it is exploited: </w:t>
      </w:r>
      <w:r>
        <w:rPr>
          <w:rFonts w:ascii="Calibri" w:cs="Calibri" w:eastAsia="Calibri" w:hAnsi="Calibri"/>
          <w:color w:val="1F2933"/>
          <w:sz w:val="21"/>
          <w:szCs w:val="21"/>
        </w:rPr>
        <w:t xml:space="preserve">A driver (or a stolen driver token) completes a trip, sees the settled balance, then posts more expenses after the fact to inflate the payout — after the manager has already reviewed it.</w:t>
      </w:r>
    </w:p>
    <w:p>
      <w:pPr>
        <w:spacing w:after="120" w:line="276"/>
      </w:pPr>
      <w:r>
        <w:rPr>
          <w:rFonts w:ascii="Calibri" w:cs="Calibri" w:eastAsia="Calibri" w:hAnsi="Calibri"/>
          <w:b/>
          <w:bCs/>
          <w:color w:val="15803D"/>
          <w:sz w:val="21"/>
          <w:szCs w:val="21"/>
        </w:rPr>
        <w:t xml:space="preserve">Recommended fix: </w:t>
      </w:r>
      <w:r>
        <w:rPr>
          <w:rFonts w:ascii="Calibri" w:cs="Calibri" w:eastAsia="Calibri" w:hAnsi="Calibri"/>
          <w:color w:val="1F2933"/>
          <w:sz w:val="21"/>
          <w:szCs w:val="21"/>
        </w:rPr>
        <w:t xml:space="preserve">Reject expenses unless the trip is active/scheduled; once arrival is set, the sheet is closed. Add a database trigger on trip_expenses that rejects inserts when the parent trip is completed/cancelled, so it cannot be bypassed by a second writer. This is a real code bug, fix it in logExpense now.</w:t>
      </w:r>
    </w:p>
    <w:p>
      <w:pPr>
        <w:pStyle w:val="Heading3"/>
        <w:spacing w:after="60" w:before="160"/>
      </w:pPr>
      <w:r>
        <w:rPr>
          <w:rFonts w:ascii="Calibri" w:cs="Calibri" w:eastAsia="Calibri" w:hAnsi="Calibri"/>
          <w:b/>
          <w:bCs/>
          <w:color w:val="1F2933"/>
          <w:sz w:val="22"/>
          <w:szCs w:val="22"/>
        </w:rPr>
        <w:t xml:space="preserve">SEC-04  Trip metrics are self-reported with no ground truth</w:t>
      </w:r>
    </w:p>
    <w:p>
      <w:pPr>
        <w:spacing w:after="60" w:line="276"/>
      </w:pPr>
      <w:r>
        <w:rPr>
          <w:rFonts w:ascii="Calibri" w:cs="Calibri" w:eastAsia="Calibri" w:hAnsi="Calibri"/>
          <w:b/>
          <w:bCs/>
          <w:color w:val="C0392B"/>
          <w:sz w:val="21"/>
          <w:szCs w:val="21"/>
        </w:rPr>
        <w:t xml:space="preserve">Critical</w:t>
      </w:r>
      <w:r>
        <w:rPr>
          <w:rFonts w:ascii="Calibri" w:cs="Calibri" w:eastAsia="Calibri" w:hAnsi="Calibri"/>
          <w:color w:val="1F2933"/>
          <w:sz w:val="21"/>
          <w:szCs w:val="21"/>
        </w:rPr>
        <w:t xml:space="preserve">   ·   Layer: Design   ·   Status: Accepted risk until GPS/weighbridge phase</w:t>
      </w:r>
    </w:p>
    <w:p>
      <w:pPr>
        <w:spacing w:after="60" w:line="276"/>
      </w:pPr>
      <w:r>
        <w:rPr>
          <w:rFonts w:ascii="Calibri" w:cs="Calibri" w:eastAsia="Calibri" w:hAnsi="Calibri"/>
          <w:b/>
          <w:bCs/>
          <w:color w:val="1F2A44"/>
          <w:sz w:val="21"/>
          <w:szCs w:val="21"/>
        </w:rPr>
        <w:t xml:space="preserve">What: </w:t>
      </w:r>
      <w:r>
        <w:rPr>
          <w:rFonts w:ascii="Calibri" w:cs="Calibri" w:eastAsia="Calibri" w:hAnsi="Calibri"/>
          <w:color w:val="1F2933"/>
          <w:sz w:val="21"/>
          <w:szCs w:val="21"/>
        </w:rPr>
        <w:t xml:space="preserve">Distance, delivered quantity, and mileage all come from numbers the driver types. The only automated check is that the odometer does not go backwards.</w:t>
      </w:r>
    </w:p>
    <w:p>
      <w:pPr>
        <w:spacing w:after="60" w:line="276"/>
      </w:pPr>
      <w:r>
        <w:rPr>
          <w:rFonts w:ascii="Calibri" w:cs="Calibri" w:eastAsia="Calibri" w:hAnsi="Calibri"/>
          <w:b/>
          <w:bCs/>
          <w:color w:val="C0392B"/>
          <w:sz w:val="21"/>
          <w:szCs w:val="21"/>
        </w:rPr>
        <w:t xml:space="preserve">How it is exploited: </w:t>
      </w:r>
      <w:r>
        <w:rPr>
          <w:rFonts w:ascii="Calibri" w:cs="Calibri" w:eastAsia="Calibri" w:hAnsi="Calibri"/>
          <w:color w:val="1F2933"/>
          <w:sz w:val="21"/>
          <w:szCs w:val="21"/>
        </w:rPr>
        <w:t xml:space="preserve">Inflate the closing odometer to overstate distance and justify more fuel; understate diesel litres to flatter mileage and mask pilferage; manipulate departure/arrival weights to hide short-delivery of ethanol.</w:t>
      </w:r>
    </w:p>
    <w:p>
      <w:pPr>
        <w:spacing w:after="120" w:line="276"/>
      </w:pPr>
      <w:r>
        <w:rPr>
          <w:rFonts w:ascii="Calibri" w:cs="Calibri" w:eastAsia="Calibri" w:hAnsi="Calibri"/>
          <w:b/>
          <w:bCs/>
          <w:color w:val="15803D"/>
          <w:sz w:val="21"/>
          <w:szCs w:val="21"/>
        </w:rPr>
        <w:t xml:space="preserve">Recommended fix: </w:t>
      </w:r>
      <w:r>
        <w:rPr>
          <w:rFonts w:ascii="Calibri" w:cs="Calibri" w:eastAsia="Calibri" w:hAnsi="Calibri"/>
          <w:color w:val="1F2933"/>
          <w:sz w:val="21"/>
          <w:szCs w:val="21"/>
        </w:rPr>
        <w:t xml:space="preserve">Cross-check against independent sources: GPS-derived distance vs. odometer delta, fuel-card litres vs. entered diesel, weighbridge readings vs. typed weights. Flag divergence beyond a tolerance (extend the ±2% weight-variance flag). Until GPS lands this is an accepted, documented business risk — state it explicitly.</w:t>
      </w:r>
    </w:p>
    <w:p>
      <w:pPr>
        <w:pStyle w:val="Heading1"/>
        <w:pBdr>
          <w:bottom w:val="single" w:color="2563EB" w:sz="8" w:space="4"/>
        </w:pBdr>
        <w:spacing w:after="120" w:before="300"/>
      </w:pPr>
      <w:r>
        <w:rPr>
          <w:rFonts w:ascii="Calibri" w:cs="Calibri" w:eastAsia="Calibri" w:hAnsi="Calibri"/>
          <w:b/>
          <w:bCs/>
          <w:color w:val="1F2A44"/>
          <w:sz w:val="30"/>
          <w:szCs w:val="30"/>
        </w:rPr>
        <w:t xml:space="preserve">5. High Findings</w:t>
      </w:r>
    </w:p>
    <w:p>
      <w:pPr>
        <w:pStyle w:val="Heading3"/>
        <w:spacing w:after="60" w:before="160"/>
      </w:pPr>
      <w:r>
        <w:rPr>
          <w:rFonts w:ascii="Calibri" w:cs="Calibri" w:eastAsia="Calibri" w:hAnsi="Calibri"/>
          <w:b/>
          <w:bCs/>
          <w:color w:val="1F2933"/>
          <w:sz w:val="22"/>
          <w:szCs w:val="22"/>
        </w:rPr>
        <w:t xml:space="preserve">SEC-05  Sequential, guessable identifiers</w:t>
      </w:r>
    </w:p>
    <w:p>
      <w:pPr>
        <w:spacing w:after="60" w:line="276"/>
      </w:pPr>
      <w:r>
        <w:rPr>
          <w:rFonts w:ascii="Calibri" w:cs="Calibri" w:eastAsia="Calibri" w:hAnsi="Calibri"/>
          <w:b/>
          <w:bCs/>
          <w:color w:val="D9691E"/>
          <w:sz w:val="21"/>
          <w:szCs w:val="21"/>
        </w:rPr>
        <w:t xml:space="preserve">High</w:t>
      </w:r>
      <w:r>
        <w:rPr>
          <w:rFonts w:ascii="Calibri" w:cs="Calibri" w:eastAsia="Calibri" w:hAnsi="Calibri"/>
          <w:color w:val="1F2933"/>
          <w:sz w:val="21"/>
          <w:szCs w:val="21"/>
        </w:rPr>
        <w:t xml:space="preserve">   ·   Layer: API / DB   ·   Status: Open</w:t>
      </w:r>
    </w:p>
    <w:p>
      <w:pPr>
        <w:spacing w:after="60" w:line="276"/>
      </w:pPr>
      <w:r>
        <w:rPr>
          <w:rFonts w:ascii="Calibri" w:cs="Calibri" w:eastAsia="Calibri" w:hAnsi="Calibri"/>
          <w:b/>
          <w:bCs/>
          <w:color w:val="1F2A44"/>
          <w:sz w:val="21"/>
          <w:szCs w:val="21"/>
        </w:rPr>
        <w:t xml:space="preserve">What: </w:t>
      </w:r>
      <w:r>
        <w:rPr>
          <w:rFonts w:ascii="Calibri" w:cs="Calibri" w:eastAsia="Calibri" w:hAnsi="Calibri"/>
          <w:color w:val="1F2933"/>
          <w:sz w:val="21"/>
          <w:szCs w:val="21"/>
        </w:rPr>
        <w:t xml:space="preserve">Trip, maintenance, and expense refs (TS-4821, MR-1017, EX-1) increment predictably.</w:t>
      </w:r>
    </w:p>
    <w:p>
      <w:pPr>
        <w:spacing w:after="60" w:line="276"/>
      </w:pPr>
      <w:r>
        <w:rPr>
          <w:rFonts w:ascii="Calibri" w:cs="Calibri" w:eastAsia="Calibri" w:hAnsi="Calibri"/>
          <w:b/>
          <w:bCs/>
          <w:color w:val="C0392B"/>
          <w:sz w:val="21"/>
          <w:szCs w:val="21"/>
        </w:rPr>
        <w:t xml:space="preserve">How it is exploited: </w:t>
      </w:r>
      <w:r>
        <w:rPr>
          <w:rFonts w:ascii="Calibri" w:cs="Calibri" w:eastAsia="Calibri" w:hAnsi="Calibri"/>
          <w:color w:val="1F2933"/>
          <w:sz w:val="21"/>
          <w:szCs w:val="21"/>
        </w:rPr>
        <w:t xml:space="preserve">Sequential IDs leak fleet volume and let an attacker enumerate neighbours — a leaked Trip ID is trivially incremented to guess others.</w:t>
      </w:r>
    </w:p>
    <w:p>
      <w:pPr>
        <w:spacing w:after="120" w:line="276"/>
      </w:pPr>
      <w:r>
        <w:rPr>
          <w:rFonts w:ascii="Calibri" w:cs="Calibri" w:eastAsia="Calibri" w:hAnsi="Calibri"/>
          <w:b/>
          <w:bCs/>
          <w:color w:val="15803D"/>
          <w:sz w:val="21"/>
          <w:szCs w:val="21"/>
        </w:rPr>
        <w:t xml:space="preserve">Recommended fix: </w:t>
      </w:r>
      <w:r>
        <w:rPr>
          <w:rFonts w:ascii="Calibri" w:cs="Calibri" w:eastAsia="Calibri" w:hAnsi="Calibri"/>
          <w:color w:val="1F2933"/>
          <w:sz w:val="21"/>
          <w:szCs w:val="21"/>
        </w:rPr>
        <w:t xml:space="preserve">Keep the human-friendly ref for display but address trips by UUID in the API, and never let the ref be the only thing gating access.</w:t>
      </w:r>
    </w:p>
    <w:p>
      <w:pPr>
        <w:pStyle w:val="Heading3"/>
        <w:spacing w:after="60" w:before="160"/>
      </w:pPr>
      <w:r>
        <w:rPr>
          <w:rFonts w:ascii="Calibri" w:cs="Calibri" w:eastAsia="Calibri" w:hAnsi="Calibri"/>
          <w:b/>
          <w:bCs/>
          <w:color w:val="1F2933"/>
          <w:sz w:val="22"/>
          <w:szCs w:val="22"/>
        </w:rPr>
        <w:t xml:space="preserve">SEC-06  Device binding trusts a client-supplied fingerprint</w:t>
      </w:r>
    </w:p>
    <w:p>
      <w:pPr>
        <w:spacing w:after="60" w:line="276"/>
      </w:pPr>
      <w:r>
        <w:rPr>
          <w:rFonts w:ascii="Calibri" w:cs="Calibri" w:eastAsia="Calibri" w:hAnsi="Calibri"/>
          <w:b/>
          <w:bCs/>
          <w:color w:val="D9691E"/>
          <w:sz w:val="21"/>
          <w:szCs w:val="21"/>
        </w:rPr>
        <w:t xml:space="preserve">High</w:t>
      </w:r>
      <w:r>
        <w:rPr>
          <w:rFonts w:ascii="Calibri" w:cs="Calibri" w:eastAsia="Calibri" w:hAnsi="Calibri"/>
          <w:color w:val="1F2933"/>
          <w:sz w:val="21"/>
          <w:szCs w:val="21"/>
        </w:rPr>
        <w:t xml:space="preserve">   ·   Layer: API (auth)   ·   Status: Open</w:t>
      </w:r>
    </w:p>
    <w:p>
      <w:pPr>
        <w:spacing w:after="60" w:line="276"/>
      </w:pPr>
      <w:r>
        <w:rPr>
          <w:rFonts w:ascii="Calibri" w:cs="Calibri" w:eastAsia="Calibri" w:hAnsi="Calibri"/>
          <w:b/>
          <w:bCs/>
          <w:color w:val="1F2A44"/>
          <w:sz w:val="21"/>
          <w:szCs w:val="21"/>
        </w:rPr>
        <w:t xml:space="preserve">What: </w:t>
      </w:r>
      <w:r>
        <w:rPr>
          <w:rFonts w:ascii="Calibri" w:cs="Calibri" w:eastAsia="Calibri" w:hAnsi="Calibri"/>
          <w:color w:val="1F2933"/>
          <w:sz w:val="21"/>
          <w:szCs w:val="21"/>
        </w:rPr>
        <w:t xml:space="preserve">Login takes a deviceFingerprint string from the client and binds the session to it; the fingerprint is not attested.</w:t>
      </w:r>
    </w:p>
    <w:p>
      <w:pPr>
        <w:spacing w:after="60" w:line="276"/>
      </w:pPr>
      <w:r>
        <w:rPr>
          <w:rFonts w:ascii="Calibri" w:cs="Calibri" w:eastAsia="Calibri" w:hAnsi="Calibri"/>
          <w:b/>
          <w:bCs/>
          <w:color w:val="C0392B"/>
          <w:sz w:val="21"/>
          <w:szCs w:val="21"/>
        </w:rPr>
        <w:t xml:space="preserve">How it is exploited: </w:t>
      </w:r>
      <w:r>
        <w:rPr>
          <w:rFonts w:ascii="Calibri" w:cs="Calibri" w:eastAsia="Calibri" w:hAnsi="Calibri"/>
          <w:color w:val="1F2933"/>
          <w:sz w:val="21"/>
          <w:szCs w:val="21"/>
        </w:rPr>
        <w:t xml:space="preserve">A thief with a stolen refresh token can replay the same fingerprint string and impersonate the device.</w:t>
      </w:r>
    </w:p>
    <w:p>
      <w:pPr>
        <w:spacing w:after="120" w:line="276"/>
      </w:pPr>
      <w:r>
        <w:rPr>
          <w:rFonts w:ascii="Calibri" w:cs="Calibri" w:eastAsia="Calibri" w:hAnsi="Calibri"/>
          <w:b/>
          <w:bCs/>
          <w:color w:val="15803D"/>
          <w:sz w:val="21"/>
          <w:szCs w:val="21"/>
        </w:rPr>
        <w:t xml:space="preserve">Recommended fix: </w:t>
      </w:r>
      <w:r>
        <w:rPr>
          <w:rFonts w:ascii="Calibri" w:cs="Calibri" w:eastAsia="Calibri" w:hAnsi="Calibri"/>
          <w:color w:val="1F2933"/>
          <w:sz w:val="21"/>
          <w:szCs w:val="21"/>
        </w:rPr>
        <w:t xml:space="preserve">Attest device identity server-side where possible (Play Integrity / DeviceCheck), or bind additional signals (IP range, TLS characteristics) and alert on change. Keep remote session revoke as the backstop.</w:t>
      </w:r>
    </w:p>
    <w:p>
      <w:pPr>
        <w:pStyle w:val="Heading3"/>
        <w:spacing w:after="60" w:before="160"/>
      </w:pPr>
      <w:r>
        <w:rPr>
          <w:rFonts w:ascii="Calibri" w:cs="Calibri" w:eastAsia="Calibri" w:hAnsi="Calibri"/>
          <w:b/>
          <w:bCs/>
          <w:color w:val="1F2933"/>
          <w:sz w:val="22"/>
          <w:szCs w:val="22"/>
        </w:rPr>
        <w:t xml:space="preserve">SEC-07  No approval gate before payout</w:t>
      </w:r>
    </w:p>
    <w:p>
      <w:pPr>
        <w:spacing w:after="60" w:line="276"/>
      </w:pPr>
      <w:r>
        <w:rPr>
          <w:rFonts w:ascii="Calibri" w:cs="Calibri" w:eastAsia="Calibri" w:hAnsi="Calibri"/>
          <w:b/>
          <w:bCs/>
          <w:color w:val="D9691E"/>
          <w:sz w:val="21"/>
          <w:szCs w:val="21"/>
        </w:rPr>
        <w:t xml:space="preserve">High</w:t>
      </w:r>
      <w:r>
        <w:rPr>
          <w:rFonts w:ascii="Calibri" w:cs="Calibri" w:eastAsia="Calibri" w:hAnsi="Calibri"/>
          <w:color w:val="1F2933"/>
          <w:sz w:val="21"/>
          <w:szCs w:val="21"/>
        </w:rPr>
        <w:t xml:space="preserve">   ·   Layer: Design   ·   Status: Open</w:t>
      </w:r>
    </w:p>
    <w:p>
      <w:pPr>
        <w:spacing w:after="60" w:line="276"/>
      </w:pPr>
      <w:r>
        <w:rPr>
          <w:rFonts w:ascii="Calibri" w:cs="Calibri" w:eastAsia="Calibri" w:hAnsi="Calibri"/>
          <w:b/>
          <w:bCs/>
          <w:color w:val="1F2A44"/>
          <w:sz w:val="21"/>
          <w:szCs w:val="21"/>
        </w:rPr>
        <w:t xml:space="preserve">What: </w:t>
      </w:r>
      <w:r>
        <w:rPr>
          <w:rFonts w:ascii="Calibri" w:cs="Calibri" w:eastAsia="Calibri" w:hAnsi="Calibri"/>
          <w:color w:val="1F2933"/>
          <w:sz w:val="21"/>
          <w:szCs w:val="21"/>
        </w:rPr>
        <w:t xml:space="preserve">The settlement balance ("pay driver ₹4,450") is presented as final the moment the driver ends the trip. The three signature slots are decorative.</w:t>
      </w:r>
    </w:p>
    <w:p>
      <w:pPr>
        <w:spacing w:after="60" w:line="276"/>
      </w:pPr>
      <w:r>
        <w:rPr>
          <w:rFonts w:ascii="Calibri" w:cs="Calibri" w:eastAsia="Calibri" w:hAnsi="Calibri"/>
          <w:b/>
          <w:bCs/>
          <w:color w:val="C0392B"/>
          <w:sz w:val="21"/>
          <w:szCs w:val="21"/>
        </w:rPr>
        <w:t xml:space="preserve">How it is exploited: </w:t>
      </w:r>
      <w:r>
        <w:rPr>
          <w:rFonts w:ascii="Calibri" w:cs="Calibri" w:eastAsia="Calibri" w:hAnsi="Calibri"/>
          <w:color w:val="1F2933"/>
          <w:sz w:val="21"/>
          <w:szCs w:val="21"/>
        </w:rPr>
        <w:t xml:space="preserve">An inflated or mistaken expense sheet flows straight to "amount to pay" with no authenticated human sign-off recorded.</w:t>
      </w:r>
    </w:p>
    <w:p>
      <w:pPr>
        <w:spacing w:after="120" w:line="276"/>
      </w:pPr>
      <w:r>
        <w:rPr>
          <w:rFonts w:ascii="Calibri" w:cs="Calibri" w:eastAsia="Calibri" w:hAnsi="Calibri"/>
          <w:b/>
          <w:bCs/>
          <w:color w:val="15803D"/>
          <w:sz w:val="21"/>
          <w:szCs w:val="21"/>
        </w:rPr>
        <w:t xml:space="preserve">Recommended fix: </w:t>
      </w:r>
      <w:r>
        <w:rPr>
          <w:rFonts w:ascii="Calibri" w:cs="Calibri" w:eastAsia="Calibri" w:hAnsi="Calibri"/>
          <w:color w:val="1F2933"/>
          <w:sz w:val="21"/>
          <w:szCs w:val="21"/>
        </w:rPr>
        <w:t xml:space="preserve">Add an approval state machine (submitted → approved/queried → settled), each transition attributed in the audit log; payout references the approved total, not the raw one.</w:t>
      </w:r>
    </w:p>
    <w:p>
      <w:pPr>
        <w:pStyle w:val="Heading3"/>
        <w:spacing w:after="60" w:before="160"/>
      </w:pPr>
      <w:r>
        <w:rPr>
          <w:rFonts w:ascii="Calibri" w:cs="Calibri" w:eastAsia="Calibri" w:hAnsi="Calibri"/>
          <w:b/>
          <w:bCs/>
          <w:color w:val="1F2933"/>
          <w:sz w:val="22"/>
          <w:szCs w:val="22"/>
        </w:rPr>
        <w:t xml:space="preserve">SEC-08  Receipts optional and not de-duplicated</w:t>
      </w:r>
    </w:p>
    <w:p>
      <w:pPr>
        <w:spacing w:after="60" w:line="276"/>
      </w:pPr>
      <w:r>
        <w:rPr>
          <w:rFonts w:ascii="Calibri" w:cs="Calibri" w:eastAsia="Calibri" w:hAnsi="Calibri"/>
          <w:b/>
          <w:bCs/>
          <w:color w:val="D9691E"/>
          <w:sz w:val="21"/>
          <w:szCs w:val="21"/>
        </w:rPr>
        <w:t xml:space="preserve">High</w:t>
      </w:r>
      <w:r>
        <w:rPr>
          <w:rFonts w:ascii="Calibri" w:cs="Calibri" w:eastAsia="Calibri" w:hAnsi="Calibri"/>
          <w:color w:val="1F2933"/>
          <w:sz w:val="21"/>
          <w:szCs w:val="21"/>
        </w:rPr>
        <w:t xml:space="preserve">   ·   Layer: API   ·   Status: Open</w:t>
      </w:r>
    </w:p>
    <w:p>
      <w:pPr>
        <w:spacing w:after="60" w:line="276"/>
      </w:pPr>
      <w:r>
        <w:rPr>
          <w:rFonts w:ascii="Calibri" w:cs="Calibri" w:eastAsia="Calibri" w:hAnsi="Calibri"/>
          <w:b/>
          <w:bCs/>
          <w:color w:val="1F2A44"/>
          <w:sz w:val="21"/>
          <w:szCs w:val="21"/>
        </w:rPr>
        <w:t xml:space="preserve">What: </w:t>
      </w:r>
      <w:r>
        <w:rPr>
          <w:rFonts w:ascii="Calibri" w:cs="Calibri" w:eastAsia="Calibri" w:hAnsi="Calibri"/>
          <w:color w:val="1F2933"/>
          <w:sz w:val="21"/>
          <w:szCs w:val="21"/>
        </w:rPr>
        <w:t xml:space="preserve">Unlike maintenance bills (NOT NULL, checksum-deduped), trip expenses can have no receipt, and one receipt image can back many expenses.</w:t>
      </w:r>
    </w:p>
    <w:p>
      <w:pPr>
        <w:spacing w:after="60" w:line="276"/>
      </w:pPr>
      <w:r>
        <w:rPr>
          <w:rFonts w:ascii="Calibri" w:cs="Calibri" w:eastAsia="Calibri" w:hAnsi="Calibri"/>
          <w:b/>
          <w:bCs/>
          <w:color w:val="C0392B"/>
          <w:sz w:val="21"/>
          <w:szCs w:val="21"/>
        </w:rPr>
        <w:t xml:space="preserve">How it is exploited: </w:t>
      </w:r>
      <w:r>
        <w:rPr>
          <w:rFonts w:ascii="Calibri" w:cs="Calibri" w:eastAsia="Calibri" w:hAnsi="Calibri"/>
          <w:color w:val="1F2933"/>
          <w:sz w:val="21"/>
          <w:szCs w:val="21"/>
        </w:rPr>
        <w:t xml:space="preserve">Claim cash expenses with no evidence, or photograph one parking slip and attach it to three trips.</w:t>
      </w:r>
    </w:p>
    <w:p>
      <w:pPr>
        <w:spacing w:after="120" w:line="276"/>
      </w:pPr>
      <w:r>
        <w:rPr>
          <w:rFonts w:ascii="Calibri" w:cs="Calibri" w:eastAsia="Calibri" w:hAnsi="Calibri"/>
          <w:b/>
          <w:bCs/>
          <w:color w:val="15803D"/>
          <w:sz w:val="21"/>
          <w:szCs w:val="21"/>
        </w:rPr>
        <w:t xml:space="preserve">Recommended fix: </w:t>
      </w:r>
      <w:r>
        <w:rPr>
          <w:rFonts w:ascii="Calibri" w:cs="Calibri" w:eastAsia="Calibri" w:hAnsi="Calibri"/>
          <w:color w:val="1F2933"/>
          <w:sz w:val="21"/>
          <w:szCs w:val="21"/>
        </w:rPr>
        <w:t xml:space="preserve">Set a receipt policy per head (e.g. Parking/RTO require one; Food up to a cap may not), checksum-dedupe expense receipts, and flag a receipt reused across trips.</w:t>
      </w:r>
    </w:p>
    <w:p>
      <w:pPr>
        <w:pStyle w:val="Heading3"/>
        <w:spacing w:after="60" w:before="160"/>
      </w:pPr>
      <w:r>
        <w:rPr>
          <w:rFonts w:ascii="Calibri" w:cs="Calibri" w:eastAsia="Calibri" w:hAnsi="Calibri"/>
          <w:b/>
          <w:bCs/>
          <w:color w:val="1F2933"/>
          <w:sz w:val="22"/>
          <w:szCs w:val="22"/>
        </w:rPr>
        <w:t xml:space="preserve">SEC-09  No idempotency — double-submit duplicates</w:t>
      </w:r>
    </w:p>
    <w:p>
      <w:pPr>
        <w:spacing w:after="60" w:line="276"/>
      </w:pPr>
      <w:r>
        <w:rPr>
          <w:rFonts w:ascii="Calibri" w:cs="Calibri" w:eastAsia="Calibri" w:hAnsi="Calibri"/>
          <w:b/>
          <w:bCs/>
          <w:color w:val="D9691E"/>
          <w:sz w:val="21"/>
          <w:szCs w:val="21"/>
        </w:rPr>
        <w:t xml:space="preserve">High</w:t>
      </w:r>
      <w:r>
        <w:rPr>
          <w:rFonts w:ascii="Calibri" w:cs="Calibri" w:eastAsia="Calibri" w:hAnsi="Calibri"/>
          <w:color w:val="1F2933"/>
          <w:sz w:val="21"/>
          <w:szCs w:val="21"/>
        </w:rPr>
        <w:t xml:space="preserve">   ·   Layer: Both   ·   Status: Open</w:t>
      </w:r>
    </w:p>
    <w:p>
      <w:pPr>
        <w:spacing w:after="60" w:line="276"/>
      </w:pPr>
      <w:r>
        <w:rPr>
          <w:rFonts w:ascii="Calibri" w:cs="Calibri" w:eastAsia="Calibri" w:hAnsi="Calibri"/>
          <w:b/>
          <w:bCs/>
          <w:color w:val="1F2A44"/>
          <w:sz w:val="21"/>
          <w:szCs w:val="21"/>
        </w:rPr>
        <w:t xml:space="preserve">What: </w:t>
      </w:r>
      <w:r>
        <w:rPr>
          <w:rFonts w:ascii="Calibri" w:cs="Calibri" w:eastAsia="Calibri" w:hAnsi="Calibri"/>
          <w:color w:val="1F2933"/>
          <w:sz w:val="21"/>
          <w:szCs w:val="21"/>
        </w:rPr>
        <w:t xml:space="preserve">Neither client nor API carries an idempotency key; a double-tap or a retried request logs the stop/expense twice.</w:t>
      </w:r>
    </w:p>
    <w:p>
      <w:pPr>
        <w:spacing w:after="60" w:line="276"/>
      </w:pPr>
      <w:r>
        <w:rPr>
          <w:rFonts w:ascii="Calibri" w:cs="Calibri" w:eastAsia="Calibri" w:hAnsi="Calibri"/>
          <w:b/>
          <w:bCs/>
          <w:color w:val="C0392B"/>
          <w:sz w:val="21"/>
          <w:szCs w:val="21"/>
        </w:rPr>
        <w:t xml:space="preserve">How it is exploited: </w:t>
      </w:r>
      <w:r>
        <w:rPr>
          <w:rFonts w:ascii="Calibri" w:cs="Calibri" w:eastAsia="Calibri" w:hAnsi="Calibri"/>
          <w:color w:val="1F2933"/>
          <w:sz w:val="21"/>
          <w:szCs w:val="21"/>
        </w:rPr>
        <w:t xml:space="preserve">Accidental or deliberate duplicate expense lines inflate the total; duplicate stops distort the report.</w:t>
      </w:r>
    </w:p>
    <w:p>
      <w:pPr>
        <w:spacing w:after="120" w:line="276"/>
      </w:pPr>
      <w:r>
        <w:rPr>
          <w:rFonts w:ascii="Calibri" w:cs="Calibri" w:eastAsia="Calibri" w:hAnsi="Calibri"/>
          <w:b/>
          <w:bCs/>
          <w:color w:val="15803D"/>
          <w:sz w:val="21"/>
          <w:szCs w:val="21"/>
        </w:rPr>
        <w:t xml:space="preserve">Recommended fix: </w:t>
      </w:r>
      <w:r>
        <w:rPr>
          <w:rFonts w:ascii="Calibri" w:cs="Calibri" w:eastAsia="Calibri" w:hAnsi="Calibri"/>
          <w:color w:val="1F2933"/>
          <w:sz w:val="21"/>
          <w:szCs w:val="21"/>
        </w:rPr>
        <w:t xml:space="preserve">Client generates a UUID per action; the API upserts on it. Essential before any offline replay ships.</w:t>
      </w:r>
    </w:p>
    <w:p>
      <w:pPr>
        <w:pStyle w:val="Heading3"/>
        <w:spacing w:after="60" w:before="160"/>
      </w:pPr>
      <w:r>
        <w:rPr>
          <w:rFonts w:ascii="Calibri" w:cs="Calibri" w:eastAsia="Calibri" w:hAnsi="Calibri"/>
          <w:b/>
          <w:bCs/>
          <w:color w:val="1F2933"/>
          <w:sz w:val="22"/>
          <w:szCs w:val="22"/>
        </w:rPr>
        <w:t xml:space="preserve">SEC-10  Two different money models</w:t>
      </w:r>
    </w:p>
    <w:p>
      <w:pPr>
        <w:spacing w:after="60" w:line="276"/>
      </w:pPr>
      <w:r>
        <w:rPr>
          <w:rFonts w:ascii="Calibri" w:cs="Calibri" w:eastAsia="Calibri" w:hAnsi="Calibri"/>
          <w:b/>
          <w:bCs/>
          <w:color w:val="D9691E"/>
          <w:sz w:val="21"/>
          <w:szCs w:val="21"/>
        </w:rPr>
        <w:t xml:space="preserve">High</w:t>
      </w:r>
      <w:r>
        <w:rPr>
          <w:rFonts w:ascii="Calibri" w:cs="Calibri" w:eastAsia="Calibri" w:hAnsi="Calibri"/>
          <w:color w:val="1F2933"/>
          <w:sz w:val="21"/>
          <w:szCs w:val="21"/>
        </w:rPr>
        <w:t xml:space="preserve">   ·   Layer: Both   ·   Status: Open</w:t>
      </w:r>
    </w:p>
    <w:p>
      <w:pPr>
        <w:spacing w:after="60" w:line="276"/>
      </w:pPr>
      <w:r>
        <w:rPr>
          <w:rFonts w:ascii="Calibri" w:cs="Calibri" w:eastAsia="Calibri" w:hAnsi="Calibri"/>
          <w:b/>
          <w:bCs/>
          <w:color w:val="1F2A44"/>
          <w:sz w:val="21"/>
          <w:szCs w:val="21"/>
        </w:rPr>
        <w:t xml:space="preserve">What: </w:t>
      </w:r>
      <w:r>
        <w:rPr>
          <w:rFonts w:ascii="Calibri" w:cs="Calibri" w:eastAsia="Calibri" w:hAnsi="Calibri"/>
          <w:color w:val="1F2933"/>
          <w:sz w:val="21"/>
          <w:szCs w:val="21"/>
        </w:rPr>
        <w:t xml:space="preserve">The API/DB use bigint paise with generated totals; the HTML clients compute money in floating-point rupees.</w:t>
      </w:r>
    </w:p>
    <w:p>
      <w:pPr>
        <w:spacing w:after="60" w:line="276"/>
      </w:pPr>
      <w:r>
        <w:rPr>
          <w:rFonts w:ascii="Calibri" w:cs="Calibri" w:eastAsia="Calibri" w:hAnsi="Calibri"/>
          <w:b/>
          <w:bCs/>
          <w:color w:val="C0392B"/>
          <w:sz w:val="21"/>
          <w:szCs w:val="21"/>
        </w:rPr>
        <w:t xml:space="preserve">How it is exploited: </w:t>
      </w:r>
      <w:r>
        <w:rPr>
          <w:rFonts w:ascii="Calibri" w:cs="Calibri" w:eastAsia="Calibri" w:hAnsi="Calibri"/>
          <w:color w:val="1F2933"/>
          <w:sz w:val="21"/>
          <w:szCs w:val="21"/>
        </w:rPr>
        <w:t xml:space="preserve">Rounding drift between what the driver/manager see and what the server settles, causing reconciliation disputes.</w:t>
      </w:r>
    </w:p>
    <w:p>
      <w:pPr>
        <w:spacing w:after="120" w:line="276"/>
      </w:pPr>
      <w:r>
        <w:rPr>
          <w:rFonts w:ascii="Calibri" w:cs="Calibri" w:eastAsia="Calibri" w:hAnsi="Calibri"/>
          <w:b/>
          <w:bCs/>
          <w:color w:val="15803D"/>
          <w:sz w:val="21"/>
          <w:szCs w:val="21"/>
        </w:rPr>
        <w:t xml:space="preserve">Recommended fix: </w:t>
      </w:r>
      <w:r>
        <w:rPr>
          <w:rFonts w:ascii="Calibri" w:cs="Calibri" w:eastAsia="Calibri" w:hAnsi="Calibri"/>
          <w:color w:val="1F2933"/>
          <w:sz w:val="21"/>
          <w:szCs w:val="21"/>
        </w:rPr>
        <w:t xml:space="preserve">Adopt paise end-to-end when the clients move onto the API and let the server be the single source of the total. Never round on the client.</w:t>
      </w:r>
    </w:p>
    <w:p>
      <w:pPr>
        <w:pStyle w:val="Heading1"/>
        <w:pBdr>
          <w:bottom w:val="single" w:color="2563EB" w:sz="8" w:space="4"/>
        </w:pBdr>
        <w:spacing w:after="120" w:before="300"/>
      </w:pPr>
      <w:r>
        <w:rPr>
          <w:rFonts w:ascii="Calibri" w:cs="Calibri" w:eastAsia="Calibri" w:hAnsi="Calibri"/>
          <w:b/>
          <w:bCs/>
          <w:color w:val="1F2A44"/>
          <w:sz w:val="30"/>
          <w:szCs w:val="30"/>
        </w:rPr>
        <w:t xml:space="preserve">6. Medium &amp; Low Findings</w:t>
      </w:r>
    </w:p>
    <w:p>
      <w:pPr>
        <w:pStyle w:val="Heading3"/>
        <w:spacing w:after="60" w:before="160"/>
      </w:pPr>
      <w:r>
        <w:rPr>
          <w:rFonts w:ascii="Calibri" w:cs="Calibri" w:eastAsia="Calibri" w:hAnsi="Calibri"/>
          <w:b/>
          <w:bCs/>
          <w:color w:val="1F2933"/>
          <w:sz w:val="22"/>
          <w:szCs w:val="22"/>
        </w:rPr>
        <w:t xml:space="preserve">SEC-11  Stored data trusted without validation</w:t>
      </w:r>
    </w:p>
    <w:p>
      <w:pPr>
        <w:spacing w:after="60" w:line="276"/>
      </w:pPr>
      <w:r>
        <w:rPr>
          <w:rFonts w:ascii="Calibri" w:cs="Calibri" w:eastAsia="Calibri" w:hAnsi="Calibri"/>
          <w:b/>
          <w:bCs/>
          <w:color w:val="B7791F"/>
          <w:sz w:val="21"/>
          <w:szCs w:val="21"/>
        </w:rPr>
        <w:t xml:space="preserve">Medium</w:t>
      </w:r>
      <w:r>
        <w:rPr>
          <w:rFonts w:ascii="Calibri" w:cs="Calibri" w:eastAsia="Calibri" w:hAnsi="Calibri"/>
          <w:color w:val="1F2933"/>
          <w:sz w:val="21"/>
          <w:szCs w:val="21"/>
        </w:rPr>
        <w:t xml:space="preserve">   ·   Layer: Prototype   ·   Status: Open</w:t>
      </w:r>
    </w:p>
    <w:p>
      <w:pPr>
        <w:spacing w:after="60" w:line="276"/>
      </w:pPr>
      <w:r>
        <w:rPr>
          <w:rFonts w:ascii="Calibri" w:cs="Calibri" w:eastAsia="Calibri" w:hAnsi="Calibri"/>
          <w:b/>
          <w:bCs/>
          <w:color w:val="1F2A44"/>
          <w:sz w:val="21"/>
          <w:szCs w:val="21"/>
        </w:rPr>
        <w:t xml:space="preserve">What: </w:t>
      </w:r>
      <w:r>
        <w:rPr>
          <w:rFonts w:ascii="Calibri" w:cs="Calibri" w:eastAsia="Calibri" w:hAnsi="Calibri"/>
          <w:color w:val="1F2933"/>
          <w:sz w:val="21"/>
          <w:szCs w:val="21"/>
        </w:rPr>
        <w:t xml:space="preserve">The store hydrates whatever arrives in a cross-tab storage event with no validation, and both clients build innerHTML from stored strings.</w:t>
      </w:r>
    </w:p>
    <w:p>
      <w:pPr>
        <w:spacing w:after="60" w:line="276"/>
      </w:pPr>
      <w:r>
        <w:rPr>
          <w:rFonts w:ascii="Calibri" w:cs="Calibri" w:eastAsia="Calibri" w:hAnsi="Calibri"/>
          <w:b/>
          <w:bCs/>
          <w:color w:val="C0392B"/>
          <w:sz w:val="21"/>
          <w:szCs w:val="21"/>
        </w:rPr>
        <w:t xml:space="preserve">How it is exploited: </w:t>
      </w:r>
      <w:r>
        <w:rPr>
          <w:rFonts w:ascii="Calibri" w:cs="Calibri" w:eastAsia="Calibri" w:hAnsi="Calibri"/>
          <w:color w:val="1F2933"/>
          <w:sz w:val="21"/>
          <w:szCs w:val="21"/>
        </w:rPr>
        <w:t xml:space="preserve">Anything that can write the store (XSS, extension) drives both clients; a single missed escape becomes stored XSS.</w:t>
      </w:r>
    </w:p>
    <w:p>
      <w:pPr>
        <w:spacing w:after="120" w:line="276"/>
      </w:pPr>
      <w:r>
        <w:rPr>
          <w:rFonts w:ascii="Calibri" w:cs="Calibri" w:eastAsia="Calibri" w:hAnsi="Calibri"/>
          <w:b/>
          <w:bCs/>
          <w:color w:val="15803D"/>
          <w:sz w:val="21"/>
          <w:szCs w:val="21"/>
        </w:rPr>
        <w:t xml:space="preserve">Recommended fix: </w:t>
      </w:r>
      <w:r>
        <w:rPr>
          <w:rFonts w:ascii="Calibri" w:cs="Calibri" w:eastAsia="Calibri" w:hAnsi="Calibri"/>
          <w:color w:val="1F2933"/>
          <w:sz w:val="21"/>
          <w:szCs w:val="21"/>
        </w:rPr>
        <w:t xml:space="preserve">Validate/shape data on hydrate, add a CSP, and audit every innerHTML. Moot once the store is the API.</w:t>
      </w:r>
    </w:p>
    <w:p>
      <w:pPr>
        <w:pStyle w:val="Heading3"/>
        <w:spacing w:after="60" w:before="160"/>
      </w:pPr>
      <w:r>
        <w:rPr>
          <w:rFonts w:ascii="Calibri" w:cs="Calibri" w:eastAsia="Calibri" w:hAnsi="Calibri"/>
          <w:b/>
          <w:bCs/>
          <w:color w:val="1F2933"/>
          <w:sz w:val="22"/>
          <w:szCs w:val="22"/>
        </w:rPr>
        <w:t xml:space="preserve">SEC-12  API and migration 005 never run</w:t>
      </w:r>
    </w:p>
    <w:p>
      <w:pPr>
        <w:spacing w:after="60" w:line="276"/>
      </w:pPr>
      <w:r>
        <w:rPr>
          <w:rFonts w:ascii="Calibri" w:cs="Calibri" w:eastAsia="Calibri" w:hAnsi="Calibri"/>
          <w:b/>
          <w:bCs/>
          <w:color w:val="B7791F"/>
          <w:sz w:val="21"/>
          <w:szCs w:val="21"/>
        </w:rPr>
        <w:t xml:space="preserve">Medium</w:t>
      </w:r>
      <w:r>
        <w:rPr>
          <w:rFonts w:ascii="Calibri" w:cs="Calibri" w:eastAsia="Calibri" w:hAnsi="Calibri"/>
          <w:color w:val="1F2933"/>
          <w:sz w:val="21"/>
          <w:szCs w:val="21"/>
        </w:rPr>
        <w:t xml:space="preserve">   ·   Layer: API   ·   Status: Open</w:t>
      </w:r>
    </w:p>
    <w:p>
      <w:pPr>
        <w:spacing w:after="60" w:line="276"/>
      </w:pPr>
      <w:r>
        <w:rPr>
          <w:rFonts w:ascii="Calibri" w:cs="Calibri" w:eastAsia="Calibri" w:hAnsi="Calibri"/>
          <w:b/>
          <w:bCs/>
          <w:color w:val="1F2A44"/>
          <w:sz w:val="21"/>
          <w:szCs w:val="21"/>
        </w:rPr>
        <w:t xml:space="preserve">What: </w:t>
      </w:r>
      <w:r>
        <w:rPr>
          <w:rFonts w:ascii="Calibri" w:cs="Calibri" w:eastAsia="Calibri" w:hAnsi="Calibri"/>
          <w:color w:val="1F2933"/>
          <w:sz w:val="21"/>
          <w:szCs w:val="21"/>
        </w:rPr>
        <w:t xml:space="preserve">No Node/blocked binaries on the original build machine meant ~20 API files were never compiled and migration 005 never executed.</w:t>
      </w:r>
    </w:p>
    <w:p>
      <w:pPr>
        <w:spacing w:after="60" w:line="276"/>
      </w:pPr>
      <w:r>
        <w:rPr>
          <w:rFonts w:ascii="Calibri" w:cs="Calibri" w:eastAsia="Calibri" w:hAnsi="Calibri"/>
          <w:b/>
          <w:bCs/>
          <w:color w:val="C0392B"/>
          <w:sz w:val="21"/>
          <w:szCs w:val="21"/>
        </w:rPr>
        <w:t xml:space="preserve">How it is exploited: </w:t>
      </w:r>
      <w:r>
        <w:rPr>
          <w:rFonts w:ascii="Calibri" w:cs="Calibri" w:eastAsia="Calibri" w:hAnsi="Calibri"/>
          <w:color w:val="1F2933"/>
          <w:sz w:val="21"/>
          <w:szCs w:val="21"/>
        </w:rPr>
        <w:t xml:space="preserve">Unknown runtime/type bugs; a broken migration only discovered on first real deploy.</w:t>
      </w:r>
    </w:p>
    <w:p>
      <w:pPr>
        <w:spacing w:after="120" w:line="276"/>
      </w:pPr>
      <w:r>
        <w:rPr>
          <w:rFonts w:ascii="Calibri" w:cs="Calibri" w:eastAsia="Calibri" w:hAnsi="Calibri"/>
          <w:b/>
          <w:bCs/>
          <w:color w:val="15803D"/>
          <w:sz w:val="21"/>
          <w:szCs w:val="21"/>
        </w:rPr>
        <w:t xml:space="preserve">Recommended fix: </w:t>
      </w:r>
      <w:r>
        <w:rPr>
          <w:rFonts w:ascii="Calibri" w:cs="Calibri" w:eastAsia="Calibri" w:hAnsi="Calibri"/>
          <w:color w:val="1F2933"/>
          <w:sz w:val="21"/>
          <w:szCs w:val="21"/>
        </w:rPr>
        <w:t xml:space="preserve">On a machine with Node (this Mac qualifies): npm run typecheck, run the API, and apply/verify 005 with invariants.sql. Treat apps/api as reviewed-not-verified until then.</w:t>
      </w:r>
    </w:p>
    <w:p>
      <w:pPr>
        <w:pStyle w:val="Heading3"/>
        <w:spacing w:after="60" w:before="160"/>
      </w:pPr>
      <w:r>
        <w:rPr>
          <w:rFonts w:ascii="Calibri" w:cs="Calibri" w:eastAsia="Calibri" w:hAnsi="Calibri"/>
          <w:b/>
          <w:bCs/>
          <w:color w:val="1F2933"/>
          <w:sz w:val="22"/>
          <w:szCs w:val="22"/>
        </w:rPr>
        <w:t xml:space="preserve">SEC-13  No transport security locally</w:t>
      </w:r>
    </w:p>
    <w:p>
      <w:pPr>
        <w:spacing w:after="60" w:line="276"/>
      </w:pPr>
      <w:r>
        <w:rPr>
          <w:rFonts w:ascii="Calibri" w:cs="Calibri" w:eastAsia="Calibri" w:hAnsi="Calibri"/>
          <w:b/>
          <w:bCs/>
          <w:color w:val="B7791F"/>
          <w:sz w:val="21"/>
          <w:szCs w:val="21"/>
        </w:rPr>
        <w:t xml:space="preserve">Medium</w:t>
      </w:r>
      <w:r>
        <w:rPr>
          <w:rFonts w:ascii="Calibri" w:cs="Calibri" w:eastAsia="Calibri" w:hAnsi="Calibri"/>
          <w:color w:val="1F2933"/>
          <w:sz w:val="21"/>
          <w:szCs w:val="21"/>
        </w:rPr>
        <w:t xml:space="preserve">   ·   Layer: Infra (server.py)   ·   Status: Open</w:t>
      </w:r>
    </w:p>
    <w:p>
      <w:pPr>
        <w:spacing w:after="60" w:line="276"/>
      </w:pPr>
      <w:r>
        <w:rPr>
          <w:rFonts w:ascii="Calibri" w:cs="Calibri" w:eastAsia="Calibri" w:hAnsi="Calibri"/>
          <w:b/>
          <w:bCs/>
          <w:color w:val="1F2A44"/>
          <w:sz w:val="21"/>
          <w:szCs w:val="21"/>
        </w:rPr>
        <w:t xml:space="preserve">What: </w:t>
      </w:r>
      <w:r>
        <w:rPr>
          <w:rFonts w:ascii="Calibri" w:cs="Calibri" w:eastAsia="Calibri" w:hAnsi="Calibri"/>
          <w:color w:val="1F2933"/>
          <w:sz w:val="21"/>
          <w:szCs w:val="21"/>
        </w:rPr>
        <w:t xml:space="preserve">Local runs are plain HTTP; tokens and PII would cross the LAN in the clear. server.py binds 0.0.0.0 so any device on the Wi-Fi can reach it.</w:t>
      </w:r>
    </w:p>
    <w:p>
      <w:pPr>
        <w:spacing w:after="60" w:line="276"/>
      </w:pPr>
      <w:r>
        <w:rPr>
          <w:rFonts w:ascii="Calibri" w:cs="Calibri" w:eastAsia="Calibri" w:hAnsi="Calibri"/>
          <w:b/>
          <w:bCs/>
          <w:color w:val="C0392B"/>
          <w:sz w:val="21"/>
          <w:szCs w:val="21"/>
        </w:rPr>
        <w:t xml:space="preserve">How it is exploited: </w:t>
      </w:r>
      <w:r>
        <w:rPr>
          <w:rFonts w:ascii="Calibri" w:cs="Calibri" w:eastAsia="Calibri" w:hAnsi="Calibri"/>
          <w:color w:val="1F2933"/>
          <w:sz w:val="21"/>
          <w:szCs w:val="21"/>
        </w:rPr>
        <w:t xml:space="preserve">On a shared/untrusted network, traffic can be sniffed; there is no TLS and no origin restriction beyond the static allow-list.</w:t>
      </w:r>
    </w:p>
    <w:p>
      <w:pPr>
        <w:spacing w:after="120" w:line="276"/>
      </w:pPr>
      <w:r>
        <w:rPr>
          <w:rFonts w:ascii="Calibri" w:cs="Calibri" w:eastAsia="Calibri" w:hAnsi="Calibri"/>
          <w:b/>
          <w:bCs/>
          <w:color w:val="15803D"/>
          <w:sz w:val="21"/>
          <w:szCs w:val="21"/>
        </w:rPr>
        <w:t xml:space="preserve">Recommended fix: </w:t>
      </w:r>
      <w:r>
        <w:rPr>
          <w:rFonts w:ascii="Calibri" w:cs="Calibri" w:eastAsia="Calibri" w:hAnsi="Calibri"/>
          <w:color w:val="1F2933"/>
          <w:sz w:val="21"/>
          <w:szCs w:val="21"/>
        </w:rPr>
        <w:t xml:space="preserve">Use TLS on the API, DB (DATABASE_SSL=require in prod), and object storage; HSTS on the web tier; cert-pin in the mobile app. For the local demo, run only on a trusted network.</w:t>
      </w:r>
    </w:p>
    <w:p>
      <w:pPr>
        <w:pStyle w:val="Heading3"/>
        <w:spacing w:after="60" w:before="160"/>
      </w:pPr>
      <w:r>
        <w:rPr>
          <w:rFonts w:ascii="Calibri" w:cs="Calibri" w:eastAsia="Calibri" w:hAnsi="Calibri"/>
          <w:b/>
          <w:bCs/>
          <w:color w:val="1F2933"/>
          <w:sz w:val="22"/>
          <w:szCs w:val="22"/>
        </w:rPr>
        <w:t xml:space="preserve">SEC-14  Unauthorized-stop is a rule, not a geofence</w:t>
      </w:r>
    </w:p>
    <w:p>
      <w:pPr>
        <w:spacing w:after="60" w:line="276"/>
      </w:pPr>
      <w:r>
        <w:rPr>
          <w:rFonts w:ascii="Calibri" w:cs="Calibri" w:eastAsia="Calibri" w:hAnsi="Calibri"/>
          <w:b/>
          <w:bCs/>
          <w:color w:val="B7791F"/>
          <w:sz w:val="21"/>
          <w:szCs w:val="21"/>
        </w:rPr>
        <w:t xml:space="preserve">Medium</w:t>
      </w:r>
      <w:r>
        <w:rPr>
          <w:rFonts w:ascii="Calibri" w:cs="Calibri" w:eastAsia="Calibri" w:hAnsi="Calibri"/>
          <w:color w:val="1F2933"/>
          <w:sz w:val="21"/>
          <w:szCs w:val="21"/>
        </w:rPr>
        <w:t xml:space="preserve">   ·   Layer: Design   ·   Status: Planned (GPS phase)</w:t>
      </w:r>
    </w:p>
    <w:p>
      <w:pPr>
        <w:spacing w:after="60" w:line="276"/>
      </w:pPr>
      <w:r>
        <w:rPr>
          <w:rFonts w:ascii="Calibri" w:cs="Calibri" w:eastAsia="Calibri" w:hAnsi="Calibri"/>
          <w:b/>
          <w:bCs/>
          <w:color w:val="1F2A44"/>
          <w:sz w:val="21"/>
          <w:szCs w:val="21"/>
        </w:rPr>
        <w:t xml:space="preserve">What: </w:t>
      </w:r>
      <w:r>
        <w:rPr>
          <w:rFonts w:ascii="Calibri" w:cs="Calibri" w:eastAsia="Calibri" w:hAnsi="Calibri"/>
          <w:color w:val="1F2933"/>
          <w:sz w:val="21"/>
          <w:szCs w:val="21"/>
        </w:rPr>
        <w:t xml:space="preserve">A stop is flagged only if marked Unscheduled or over the max-stops count; a driver can stop anywhere off-route and mark it "Break" within the limit.</w:t>
      </w:r>
    </w:p>
    <w:p>
      <w:pPr>
        <w:spacing w:after="60" w:line="276"/>
      </w:pPr>
      <w:r>
        <w:rPr>
          <w:rFonts w:ascii="Calibri" w:cs="Calibri" w:eastAsia="Calibri" w:hAnsi="Calibri"/>
          <w:b/>
          <w:bCs/>
          <w:color w:val="C0392B"/>
          <w:sz w:val="21"/>
          <w:szCs w:val="21"/>
        </w:rPr>
        <w:t xml:space="preserve">How it is exploited: </w:t>
      </w:r>
      <w:r>
        <w:rPr>
          <w:rFonts w:ascii="Calibri" w:cs="Calibri" w:eastAsia="Calibri" w:hAnsi="Calibri"/>
          <w:color w:val="1F2933"/>
          <w:sz w:val="21"/>
          <w:szCs w:val="21"/>
        </w:rPr>
        <w:t xml:space="preserve">Off-route stops (diversion, unauthorised errands) go undetected as long as the count stays under the max.</w:t>
      </w:r>
    </w:p>
    <w:p>
      <w:pPr>
        <w:spacing w:after="120" w:line="276"/>
      </w:pPr>
      <w:r>
        <w:rPr>
          <w:rFonts w:ascii="Calibri" w:cs="Calibri" w:eastAsia="Calibri" w:hAnsi="Calibri"/>
          <w:b/>
          <w:bCs/>
          <w:color w:val="15803D"/>
          <w:sz w:val="21"/>
          <w:szCs w:val="21"/>
        </w:rPr>
        <w:t xml:space="preserve">Recommended fix: </w:t>
      </w:r>
      <w:r>
        <w:rPr>
          <w:rFonts w:ascii="Calibri" w:cs="Calibri" w:eastAsia="Calibri" w:hAnsi="Calibri"/>
          <w:color w:val="1F2933"/>
          <w:sz w:val="21"/>
          <w:szCs w:val="21"/>
        </w:rPr>
        <w:t xml:space="preserve">The planned PostGIS geofence-deviation check (migration 003 + ingest) is the real control, evaluated server-side so a compromised device cannot suppress an alert.</w:t>
      </w:r>
    </w:p>
    <w:p>
      <w:pPr>
        <w:pStyle w:val="Heading3"/>
        <w:spacing w:after="60" w:before="160"/>
      </w:pPr>
      <w:r>
        <w:rPr>
          <w:rFonts w:ascii="Calibri" w:cs="Calibri" w:eastAsia="Calibri" w:hAnsi="Calibri"/>
          <w:b/>
          <w:bCs/>
          <w:color w:val="1F2933"/>
          <w:sz w:val="22"/>
          <w:szCs w:val="22"/>
        </w:rPr>
        <w:t xml:space="preserve">SEC-15  No abuse controls on future GPS ingest</w:t>
      </w:r>
    </w:p>
    <w:p>
      <w:pPr>
        <w:spacing w:after="60" w:line="276"/>
      </w:pPr>
      <w:r>
        <w:rPr>
          <w:rFonts w:ascii="Calibri" w:cs="Calibri" w:eastAsia="Calibri" w:hAnsi="Calibri"/>
          <w:b/>
          <w:bCs/>
          <w:color w:val="B7791F"/>
          <w:sz w:val="21"/>
          <w:szCs w:val="21"/>
        </w:rPr>
        <w:t xml:space="preserve">Medium</w:t>
      </w:r>
      <w:r>
        <w:rPr>
          <w:rFonts w:ascii="Calibri" w:cs="Calibri" w:eastAsia="Calibri" w:hAnsi="Calibri"/>
          <w:color w:val="1F2933"/>
          <w:sz w:val="21"/>
          <w:szCs w:val="21"/>
        </w:rPr>
        <w:t xml:space="preserve">   ·   Layer: Design   ·   Status: Planned (GPS phase)</w:t>
      </w:r>
    </w:p>
    <w:p>
      <w:pPr>
        <w:spacing w:after="60" w:line="276"/>
      </w:pPr>
      <w:r>
        <w:rPr>
          <w:rFonts w:ascii="Calibri" w:cs="Calibri" w:eastAsia="Calibri" w:hAnsi="Calibri"/>
          <w:b/>
          <w:bCs/>
          <w:color w:val="1F2A44"/>
          <w:sz w:val="21"/>
          <w:szCs w:val="21"/>
        </w:rPr>
        <w:t xml:space="preserve">What: </w:t>
      </w:r>
      <w:r>
        <w:rPr>
          <w:rFonts w:ascii="Calibri" w:cs="Calibri" w:eastAsia="Calibri" w:hAnsi="Calibri"/>
          <w:color w:val="1F2933"/>
          <w:sz w:val="21"/>
          <w:szCs w:val="21"/>
        </w:rPr>
        <w:t xml:space="preserve">The future ingest endpoint could be flooded with spoofed positions.</w:t>
      </w:r>
    </w:p>
    <w:p>
      <w:pPr>
        <w:spacing w:after="60" w:line="276"/>
      </w:pPr>
      <w:r>
        <w:rPr>
          <w:rFonts w:ascii="Calibri" w:cs="Calibri" w:eastAsia="Calibri" w:hAnsi="Calibri"/>
          <w:b/>
          <w:bCs/>
          <w:color w:val="C0392B"/>
          <w:sz w:val="21"/>
          <w:szCs w:val="21"/>
        </w:rPr>
        <w:t xml:space="preserve">How it is exploited: </w:t>
      </w:r>
      <w:r>
        <w:rPr>
          <w:rFonts w:ascii="Calibri" w:cs="Calibri" w:eastAsia="Calibri" w:hAnsi="Calibri"/>
          <w:color w:val="1F2933"/>
          <w:sz w:val="21"/>
          <w:szCs w:val="21"/>
        </w:rPr>
        <w:t xml:space="preserve">A flooded or spoofed ingest path corrupts the live map and geofence logic.</w:t>
      </w:r>
    </w:p>
    <w:p>
      <w:pPr>
        <w:spacing w:after="120" w:line="276"/>
      </w:pPr>
      <w:r>
        <w:rPr>
          <w:rFonts w:ascii="Calibri" w:cs="Calibri" w:eastAsia="Calibri" w:hAnsi="Calibri"/>
          <w:b/>
          <w:bCs/>
          <w:color w:val="15803D"/>
          <w:sz w:val="21"/>
          <w:szCs w:val="21"/>
        </w:rPr>
        <w:t xml:space="preserve">Recommended fix: </w:t>
      </w:r>
      <w:r>
        <w:rPr>
          <w:rFonts w:ascii="Calibri" w:cs="Calibri" w:eastAsia="Calibri" w:hAnsi="Calibri"/>
          <w:color w:val="1F2933"/>
          <w:sz w:val="21"/>
          <w:szCs w:val="21"/>
        </w:rPr>
        <w:t xml:space="preserve">Design per-device auth + rate limiting + sanity bounds into the ingest path before trackers are connected (the schema already rejects future-dated pings).</w:t>
      </w:r>
    </w:p>
    <w:p>
      <w:pPr>
        <w:pStyle w:val="Heading3"/>
        <w:spacing w:after="60" w:before="160"/>
      </w:pPr>
      <w:r>
        <w:rPr>
          <w:rFonts w:ascii="Calibri" w:cs="Calibri" w:eastAsia="Calibri" w:hAnsi="Calibri"/>
          <w:b/>
          <w:bCs/>
          <w:color w:val="1F2933"/>
          <w:sz w:val="22"/>
          <w:szCs w:val="22"/>
        </w:rPr>
        <w:t xml:space="preserve">SEC-16  Bill blobs are session-only</w:t>
      </w:r>
    </w:p>
    <w:p>
      <w:pPr>
        <w:spacing w:after="60" w:line="276"/>
      </w:pPr>
      <w:r>
        <w:rPr>
          <w:rFonts w:ascii="Calibri" w:cs="Calibri" w:eastAsia="Calibri" w:hAnsi="Calibri"/>
          <w:b/>
          <w:bCs/>
          <w:color w:val="15803D"/>
          <w:sz w:val="21"/>
          <w:szCs w:val="21"/>
        </w:rPr>
        <w:t xml:space="preserve">Low</w:t>
      </w:r>
      <w:r>
        <w:rPr>
          <w:rFonts w:ascii="Calibri" w:cs="Calibri" w:eastAsia="Calibri" w:hAnsi="Calibri"/>
          <w:color w:val="1F2933"/>
          <w:sz w:val="21"/>
          <w:szCs w:val="21"/>
        </w:rPr>
        <w:t xml:space="preserve">   ·   Layer: Prototype   ·   Status: Mitigated in API design</w:t>
      </w:r>
    </w:p>
    <w:p>
      <w:pPr>
        <w:spacing w:after="60" w:line="276"/>
      </w:pPr>
      <w:r>
        <w:rPr>
          <w:rFonts w:ascii="Calibri" w:cs="Calibri" w:eastAsia="Calibri" w:hAnsi="Calibri"/>
          <w:b/>
          <w:bCs/>
          <w:color w:val="1F2A44"/>
          <w:sz w:val="21"/>
          <w:szCs w:val="21"/>
        </w:rPr>
        <w:t xml:space="preserve">What: </w:t>
      </w:r>
      <w:r>
        <w:rPr>
          <w:rFonts w:ascii="Calibri" w:cs="Calibri" w:eastAsia="Calibri" w:hAnsi="Calibri"/>
          <w:color w:val="1F2933"/>
          <w:sz w:val="21"/>
          <w:szCs w:val="21"/>
        </w:rPr>
        <w:t xml:space="preserve">Uploaded bills are createObjectURL blobs dropped on persist — only the filename survives a reload or the cross-client hop.</w:t>
      </w:r>
    </w:p>
    <w:p>
      <w:pPr>
        <w:spacing w:after="60" w:line="276"/>
      </w:pPr>
      <w:r>
        <w:rPr>
          <w:rFonts w:ascii="Calibri" w:cs="Calibri" w:eastAsia="Calibri" w:hAnsi="Calibri"/>
          <w:b/>
          <w:bCs/>
          <w:color w:val="C0392B"/>
          <w:sz w:val="21"/>
          <w:szCs w:val="21"/>
        </w:rPr>
        <w:t xml:space="preserve">How it is exploited: </w:t>
      </w:r>
      <w:r>
        <w:rPr>
          <w:rFonts w:ascii="Calibri" w:cs="Calibri" w:eastAsia="Calibri" w:hAnsi="Calibri"/>
          <w:color w:val="1F2933"/>
          <w:sz w:val="21"/>
          <w:szCs w:val="21"/>
        </w:rPr>
        <w:t xml:space="preserve">Evidence images are lost between sessions, weakening the audit trail in the prototype.</w:t>
      </w:r>
    </w:p>
    <w:p>
      <w:pPr>
        <w:spacing w:after="120" w:line="276"/>
      </w:pPr>
      <w:r>
        <w:rPr>
          <w:rFonts w:ascii="Calibri" w:cs="Calibri" w:eastAsia="Calibri" w:hAnsi="Calibri"/>
          <w:b/>
          <w:bCs/>
          <w:color w:val="15803D"/>
          <w:sz w:val="21"/>
          <w:szCs w:val="21"/>
        </w:rPr>
        <w:t xml:space="preserve">Recommended fix: </w:t>
      </w:r>
      <w:r>
        <w:rPr>
          <w:rFonts w:ascii="Calibri" w:cs="Calibri" w:eastAsia="Calibri" w:hAnsi="Calibri"/>
          <w:color w:val="1F2933"/>
          <w:sz w:val="21"/>
          <w:szCs w:val="21"/>
        </w:rPr>
        <w:t xml:space="preserve">Real object storage (already coded server-side, content-addressed and presigned) makes this moot.</w:t>
      </w:r>
    </w:p>
    <w:p>
      <w:pPr>
        <w:pStyle w:val="Heading3"/>
        <w:spacing w:after="60" w:before="160"/>
      </w:pPr>
      <w:r>
        <w:rPr>
          <w:rFonts w:ascii="Calibri" w:cs="Calibri" w:eastAsia="Calibri" w:hAnsi="Calibri"/>
          <w:b/>
          <w:bCs/>
          <w:color w:val="1F2933"/>
          <w:sz w:val="22"/>
          <w:szCs w:val="22"/>
        </w:rPr>
        <w:t xml:space="preserve">SEC-17  Dead driver code in the manager site</w:t>
      </w:r>
    </w:p>
    <w:p>
      <w:pPr>
        <w:spacing w:after="60" w:line="276"/>
      </w:pPr>
      <w:r>
        <w:rPr>
          <w:rFonts w:ascii="Calibri" w:cs="Calibri" w:eastAsia="Calibri" w:hAnsi="Calibri"/>
          <w:b/>
          <w:bCs/>
          <w:color w:val="15803D"/>
          <w:sz w:val="21"/>
          <w:szCs w:val="21"/>
        </w:rPr>
        <w:t xml:space="preserve">Low</w:t>
      </w:r>
      <w:r>
        <w:rPr>
          <w:rFonts w:ascii="Calibri" w:cs="Calibri" w:eastAsia="Calibri" w:hAnsi="Calibri"/>
          <w:color w:val="1F2933"/>
          <w:sz w:val="21"/>
          <w:szCs w:val="21"/>
        </w:rPr>
        <w:t xml:space="preserve">   ·   Layer: Prototype   ·   Status: Open</w:t>
      </w:r>
    </w:p>
    <w:p>
      <w:pPr>
        <w:spacing w:after="60" w:line="276"/>
      </w:pPr>
      <w:r>
        <w:rPr>
          <w:rFonts w:ascii="Calibri" w:cs="Calibri" w:eastAsia="Calibri" w:hAnsi="Calibri"/>
          <w:b/>
          <w:bCs/>
          <w:color w:val="1F2A44"/>
          <w:sz w:val="21"/>
          <w:szCs w:val="21"/>
        </w:rPr>
        <w:t xml:space="preserve">What: </w:t>
      </w:r>
      <w:r>
        <w:rPr>
          <w:rFonts w:ascii="Calibri" w:cs="Calibri" w:eastAsia="Calibri" w:hAnsi="Calibri"/>
          <w:color w:val="1F2933"/>
          <w:sz w:val="21"/>
          <w:szCs w:val="21"/>
        </w:rPr>
        <w:t xml:space="preserve">tms-app.html still defines old driver functions (renderDriver, wireDriver, lookupTrip, etc.) that are never called after the manager/driver split.</w:t>
      </w:r>
    </w:p>
    <w:p>
      <w:pPr>
        <w:spacing w:after="60" w:line="276"/>
      </w:pPr>
      <w:r>
        <w:rPr>
          <w:rFonts w:ascii="Calibri" w:cs="Calibri" w:eastAsia="Calibri" w:hAnsi="Calibri"/>
          <w:b/>
          <w:bCs/>
          <w:color w:val="C0392B"/>
          <w:sz w:val="21"/>
          <w:szCs w:val="21"/>
        </w:rPr>
        <w:t xml:space="preserve">How it is exploited: </w:t>
      </w:r>
      <w:r>
        <w:rPr>
          <w:rFonts w:ascii="Calibri" w:cs="Calibri" w:eastAsia="Calibri" w:hAnsi="Calibri"/>
          <w:color w:val="1F2933"/>
          <w:sz w:val="21"/>
          <w:szCs w:val="21"/>
        </w:rPr>
        <w:t xml:space="preserve">Dead code enlarges the attack surface and can confuse future maintainers.</w:t>
      </w:r>
    </w:p>
    <w:p>
      <w:pPr>
        <w:spacing w:after="120" w:line="276"/>
      </w:pPr>
      <w:r>
        <w:rPr>
          <w:rFonts w:ascii="Calibri" w:cs="Calibri" w:eastAsia="Calibri" w:hAnsi="Calibri"/>
          <w:b/>
          <w:bCs/>
          <w:color w:val="15803D"/>
          <w:sz w:val="21"/>
          <w:szCs w:val="21"/>
        </w:rPr>
        <w:t xml:space="preserve">Recommended fix: </w:t>
      </w:r>
      <w:r>
        <w:rPr>
          <w:rFonts w:ascii="Calibri" w:cs="Calibri" w:eastAsia="Calibri" w:hAnsi="Calibri"/>
          <w:color w:val="1F2933"/>
          <w:sz w:val="21"/>
          <w:szCs w:val="21"/>
        </w:rPr>
        <w:t xml:space="preserve">Delete the unused driver functions from the manager file. Low risk — hygiene.</w:t>
      </w:r>
    </w:p>
    <w:p>
      <w:pPr>
        <w:pStyle w:val="Heading1"/>
        <w:pBdr>
          <w:bottom w:val="single" w:color="2563EB" w:sz="8" w:space="4"/>
        </w:pBdr>
        <w:spacing w:after="120" w:before="300"/>
      </w:pPr>
      <w:r>
        <w:rPr>
          <w:rFonts w:ascii="Calibri" w:cs="Calibri" w:eastAsia="Calibri" w:hAnsi="Calibri"/>
          <w:b/>
          <w:bCs/>
          <w:color w:val="1F2A44"/>
          <w:sz w:val="30"/>
          <w:szCs w:val="30"/>
        </w:rPr>
        <w:t xml:space="preserve">7. Notes on the Running server.py Build</w:t>
      </w:r>
    </w:p>
    <w:p>
      <w:pPr>
        <w:spacing w:after="120" w:line="276"/>
      </w:pPr>
      <w:r>
        <w:rPr>
          <w:rFonts w:ascii="Calibri" w:cs="Calibri" w:eastAsia="Calibri" w:hAnsi="Calibri"/>
          <w:color w:val="1F2933"/>
          <w:sz w:val="21"/>
          <w:szCs w:val="21"/>
        </w:rPr>
        <w:t xml:space="preserve">The local server is deliberately minimal but has a few security-relevant properties worth recording:</w:t>
      </w:r>
    </w:p>
    <w:p>
      <w:pPr>
        <w:pStyle w:val="ListParagraph"/>
        <w:numPr>
          <w:ilvl w:val="0"/>
          <w:numId w:val="1"/>
        </w:numPr>
        <w:spacing w:after="60" w:line="264"/>
      </w:pPr>
      <w:r>
        <w:rPr>
          <w:rFonts w:ascii="Calibri" w:cs="Calibri" w:eastAsia="Calibri" w:hAnsi="Calibri"/>
          <w:b/>
          <w:bCs/>
          <w:color w:val="15803D"/>
          <w:sz w:val="21"/>
          <w:szCs w:val="21"/>
        </w:rPr>
        <w:t xml:space="preserve">Positive: </w:t>
      </w:r>
      <w:r>
        <w:rPr>
          <w:rFonts w:ascii="Calibri" w:cs="Calibri" w:eastAsia="Calibri" w:hAnsi="Calibri"/>
          <w:color w:val="1F2933"/>
          <w:sz w:val="21"/>
          <w:szCs w:val="21"/>
        </w:rPr>
        <w:t xml:space="preserve">a static allow-list restricts what is served — source, .git, and docs are NOT exposed on the network; only the two apps, store.js, the manifest, and the icon are.</w:t>
      </w:r>
    </w:p>
    <w:p>
      <w:pPr>
        <w:pStyle w:val="ListParagraph"/>
        <w:numPr>
          <w:ilvl w:val="0"/>
          <w:numId w:val="1"/>
        </w:numPr>
        <w:spacing w:after="60" w:line="264"/>
      </w:pPr>
      <w:r>
        <w:rPr>
          <w:rFonts w:ascii="Calibri" w:cs="Calibri" w:eastAsia="Calibri" w:hAnsi="Calibri"/>
          <w:b/>
          <w:bCs/>
          <w:color w:val="15803D"/>
          <w:sz w:val="21"/>
          <w:szCs w:val="21"/>
        </w:rPr>
        <w:t xml:space="preserve">Positive: </w:t>
      </w:r>
      <w:r>
        <w:rPr>
          <w:rFonts w:ascii="Calibri" w:cs="Calibri" w:eastAsia="Calibri" w:hAnsi="Calibri"/>
          <w:color w:val="1F2933"/>
          <w:sz w:val="21"/>
          <w:szCs w:val="21"/>
        </w:rPr>
        <w:t xml:space="preserve">store writes are atomic under a lock with a bumped revision, so concurrent saves do not corrupt data/store.json.</w:t>
      </w:r>
    </w:p>
    <w:p>
      <w:pPr>
        <w:pStyle w:val="ListParagraph"/>
        <w:numPr>
          <w:ilvl w:val="0"/>
          <w:numId w:val="1"/>
        </w:numPr>
        <w:spacing w:after="60" w:line="264"/>
      </w:pPr>
      <w:r>
        <w:rPr>
          <w:rFonts w:ascii="Calibri" w:cs="Calibri" w:eastAsia="Calibri" w:hAnsi="Calibri"/>
          <w:b/>
          <w:bCs/>
          <w:color w:val="C0392B"/>
          <w:sz w:val="21"/>
          <w:szCs w:val="21"/>
        </w:rPr>
        <w:t xml:space="preserve">Risk: </w:t>
      </w:r>
      <w:r>
        <w:rPr>
          <w:rFonts w:ascii="Calibri" w:cs="Calibri" w:eastAsia="Calibri" w:hAnsi="Calibri"/>
          <w:color w:val="1F2933"/>
          <w:sz w:val="21"/>
          <w:szCs w:val="21"/>
        </w:rPr>
        <w:t xml:space="preserve">binds 0.0.0.0 with no auth — every device on the Wi-Fi can read and overwrite the whole store via GET/PUT /api/store. Run only on a trusted network.</w:t>
      </w:r>
    </w:p>
    <w:p>
      <w:pPr>
        <w:pStyle w:val="ListParagraph"/>
        <w:numPr>
          <w:ilvl w:val="0"/>
          <w:numId w:val="1"/>
        </w:numPr>
        <w:spacing w:after="60" w:line="264"/>
      </w:pPr>
      <w:r>
        <w:rPr>
          <w:rFonts w:ascii="Calibri" w:cs="Calibri" w:eastAsia="Calibri" w:hAnsi="Calibri"/>
          <w:b/>
          <w:bCs/>
          <w:color w:val="C0392B"/>
          <w:sz w:val="21"/>
          <w:szCs w:val="21"/>
        </w:rPr>
        <w:t xml:space="preserve">Risk: </w:t>
      </w:r>
      <w:r>
        <w:rPr>
          <w:rFonts w:ascii="Calibri" w:cs="Calibri" w:eastAsia="Calibri" w:hAnsi="Calibri"/>
          <w:color w:val="1F2933"/>
          <w:sz w:val="21"/>
          <w:szCs w:val="21"/>
        </w:rPr>
        <w:t xml:space="preserve">the /api/store PUT replaces the entire state with any well-formed JSON — there is no schema check or authorisation (this is SEC-01/-11 at the server layer).</w:t>
      </w:r>
    </w:p>
    <w:p>
      <w:pPr>
        <w:pStyle w:val="ListParagraph"/>
        <w:numPr>
          <w:ilvl w:val="0"/>
          <w:numId w:val="1"/>
        </w:numPr>
        <w:spacing w:after="60" w:line="264"/>
      </w:pPr>
      <w:r>
        <w:rPr>
          <w:rFonts w:ascii="Calibri" w:cs="Calibri" w:eastAsia="Calibri" w:hAnsi="Calibri"/>
          <w:b/>
          <w:bCs/>
          <w:color w:val="B7791F"/>
          <w:sz w:val="21"/>
          <w:szCs w:val="21"/>
        </w:rPr>
        <w:t xml:space="preserve">Note: </w:t>
      </w:r>
      <w:r>
        <w:rPr>
          <w:rFonts w:ascii="Calibri" w:cs="Calibri" w:eastAsia="Calibri" w:hAnsi="Calibri"/>
          <w:color w:val="1F2933"/>
          <w:sz w:val="21"/>
          <w:szCs w:val="21"/>
        </w:rPr>
        <w:t xml:space="preserve">no rate limiting and no request-size cap on the PUT; fine for a demo, not for exposure beyond the LAN.</w:t>
      </w:r>
    </w:p>
    <w:p>
      <w:pPr>
        <w:pStyle w:val="Heading1"/>
        <w:pBdr>
          <w:bottom w:val="single" w:color="2563EB" w:sz="8" w:space="4"/>
        </w:pBdr>
        <w:spacing w:after="120" w:before="300"/>
      </w:pPr>
      <w:r>
        <w:rPr>
          <w:rFonts w:ascii="Calibri" w:cs="Calibri" w:eastAsia="Calibri" w:hAnsi="Calibri"/>
          <w:b/>
          <w:bCs/>
          <w:color w:val="1F2A44"/>
          <w:sz w:val="30"/>
          <w:szCs w:val="30"/>
        </w:rPr>
        <w:t xml:space="preserve">8. Remediation Roadmap</w:t>
      </w:r>
    </w:p>
    <w:p>
      <w:pPr>
        <w:spacing w:after="120" w:line="276"/>
      </w:pPr>
      <w:r>
        <w:rPr>
          <w:rFonts w:ascii="Calibri" w:cs="Calibri" w:eastAsia="Calibri" w:hAnsi="Calibri"/>
          <w:color w:val="1F2933"/>
          <w:sz w:val="21"/>
          <w:szCs w:val="21"/>
        </w:rPr>
        <w:t xml:space="preserve">Priority order to move from "workflow demo" to "safe to hold real data and pay on":</w:t>
      </w:r>
    </w:p>
    <w:tbl>
      <w:tblPr>
        <w:tblW w:type="dxa" w:w="10080"/>
        <w:tblBorders>
          <w:top w:val="single" w:color="D2D6DC" w:sz="4"/>
          <w:left w:val="single" w:color="D2D6DC" w:sz="4"/>
          <w:bottom w:val="single" w:color="D2D6DC" w:sz="4"/>
          <w:right w:val="single" w:color="D2D6DC" w:sz="4"/>
          <w:insideH w:val="single" w:color="D2D6DC" w:sz="4"/>
          <w:insideV w:val="single" w:color="D2D6DC" w:sz="4"/>
        </w:tblBorders>
      </w:tblPr>
      <w:tblGrid>
        <w:gridCol w:w="620"/>
        <w:gridCol w:w="5400"/>
        <w:gridCol w:w="2260"/>
        <w:gridCol w:w="1800"/>
      </w:tblGrid>
      <w:tr>
        <w:trPr>
          <w:tblHeader/>
        </w:trPr>
        <w:tc>
          <w:tcPr>
            <w:tcW w:type="dxa" w:w="620"/>
            <w:shd w:fill="1F2A4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t>
            </w:r>
          </w:p>
        </w:tc>
        <w:tc>
          <w:tcPr>
            <w:tcW w:type="dxa" w:w="5400"/>
            <w:shd w:fill="1F2A4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Action</w:t>
            </w:r>
          </w:p>
        </w:tc>
        <w:tc>
          <w:tcPr>
            <w:tcW w:type="dxa" w:w="2260"/>
            <w:shd w:fill="1F2A4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Closes</w:t>
            </w:r>
          </w:p>
        </w:tc>
        <w:tc>
          <w:tcPr>
            <w:tcW w:type="dxa" w:w="1800"/>
            <w:shd w:fill="1F2A4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When</w:t>
            </w:r>
          </w:p>
        </w:tc>
      </w:tr>
      <w:tr>
        <w:tc>
          <w:tcPr>
            <w:tcW w:type="dxa" w:w="620"/>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1</w:t>
            </w:r>
          </w:p>
        </w:tc>
        <w:tc>
          <w:tcPr>
            <w:tcW w:type="dxa" w:w="540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Run and verify the API on this Mac (Node 24 present): typecheck, apply migration 005, run invariants.sql. Fix SEC-03 in logExpense and add the DB trigger.</w:t>
            </w:r>
          </w:p>
        </w:tc>
        <w:tc>
          <w:tcPr>
            <w:tcW w:type="dxa" w:w="226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SEC-03, SEC-12</w:t>
            </w:r>
          </w:p>
        </w:tc>
        <w:tc>
          <w:tcPr>
            <w:tcW w:type="dxa" w:w="180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Immediate</w:t>
            </w:r>
          </w:p>
        </w:tc>
      </w:tr>
      <w:tr>
        <w:tc>
          <w:tcPr>
            <w:tcW w:type="dxa" w:w="620"/>
            <w:shd w:fill="F4F6F8" w:color="auto" w:val="clear"/>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2</w:t>
            </w:r>
          </w:p>
        </w:tc>
        <w:tc>
          <w:tcPr>
            <w:tcW w:type="dxa" w:w="540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Wire store.js to the API with a real login; require a valid role-scoped token for every action; drivers see only their own trip.</w:t>
            </w:r>
          </w:p>
        </w:tc>
        <w:tc>
          <w:tcPr>
            <w:tcW w:type="dxa" w:w="226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SEC-01, SEC-02, SEC-11</w:t>
            </w:r>
          </w:p>
        </w:tc>
        <w:tc>
          <w:tcPr>
            <w:tcW w:type="dxa" w:w="180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Next</w:t>
            </w:r>
          </w:p>
        </w:tc>
      </w:tr>
      <w:tr>
        <w:tc>
          <w:tcPr>
            <w:tcW w:type="dxa" w:w="620"/>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3</w:t>
            </w:r>
          </w:p>
        </w:tc>
        <w:tc>
          <w:tcPr>
            <w:tcW w:type="dxa" w:w="540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Add idempotency keys, UUID addressing, and an approval state machine before payout.</w:t>
            </w:r>
          </w:p>
        </w:tc>
        <w:tc>
          <w:tcPr>
            <w:tcW w:type="dxa" w:w="226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SEC-05, SEC-07, SEC-09</w:t>
            </w:r>
          </w:p>
        </w:tc>
        <w:tc>
          <w:tcPr>
            <w:tcW w:type="dxa" w:w="180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Next</w:t>
            </w:r>
          </w:p>
        </w:tc>
      </w:tr>
      <w:tr>
        <w:tc>
          <w:tcPr>
            <w:tcW w:type="dxa" w:w="620"/>
            <w:shd w:fill="F4F6F8" w:color="auto" w:val="clear"/>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4</w:t>
            </w:r>
          </w:p>
        </w:tc>
        <w:tc>
          <w:tcPr>
            <w:tcW w:type="dxa" w:w="540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Adopt paise end-to-end; enforce receipt policy + dedupe; attest device binding.</w:t>
            </w:r>
          </w:p>
        </w:tc>
        <w:tc>
          <w:tcPr>
            <w:tcW w:type="dxa" w:w="226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SEC-06, SEC-08, SEC-10</w:t>
            </w:r>
          </w:p>
        </w:tc>
        <w:tc>
          <w:tcPr>
            <w:tcW w:type="dxa" w:w="180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Then</w:t>
            </w:r>
          </w:p>
        </w:tc>
      </w:tr>
      <w:tr>
        <w:tc>
          <w:tcPr>
            <w:tcW w:type="dxa" w:w="620"/>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5</w:t>
            </w:r>
          </w:p>
        </w:tc>
        <w:tc>
          <w:tcPr>
            <w:tcW w:type="dxa" w:w="540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TLS everywhere; CSP + innerHTML audit on the web tier; delete dead code.</w:t>
            </w:r>
          </w:p>
        </w:tc>
        <w:tc>
          <w:tcPr>
            <w:tcW w:type="dxa" w:w="226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SEC-11, SEC-13, SEC-17</w:t>
            </w:r>
          </w:p>
        </w:tc>
        <w:tc>
          <w:tcPr>
            <w:tcW w:type="dxa" w:w="1800"/>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Then</w:t>
            </w:r>
          </w:p>
        </w:tc>
      </w:tr>
      <w:tr>
        <w:tc>
          <w:tcPr>
            <w:tcW w:type="dxa" w:w="620"/>
            <w:shd w:fill="F4F6F8" w:color="auto" w:val="clear"/>
            <w:tcMar>
              <w:top w:type="dxa" w:w="50"/>
              <w:left w:type="dxa" w:w="100"/>
              <w:bottom w:type="dxa" w:w="50"/>
              <w:right w:type="dxa" w:w="100"/>
            </w:tcMar>
            <w:vAlign w:val="center"/>
          </w:tcPr>
          <w:p>
            <w:pPr>
              <w:spacing w:after="0" w:line="252"/>
            </w:pPr>
            <w:r>
              <w:rPr>
                <w:rFonts w:ascii="Calibri" w:cs="Calibri" w:eastAsia="Calibri" w:hAnsi="Calibri"/>
                <w:b/>
                <w:bCs/>
                <w:color w:val="1F2933"/>
                <w:sz w:val="19"/>
                <w:szCs w:val="19"/>
              </w:rPr>
              <w:t xml:space="preserve">6</w:t>
            </w:r>
          </w:p>
        </w:tc>
        <w:tc>
          <w:tcPr>
            <w:tcW w:type="dxa" w:w="540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GPS + weighbridge + fuel-card integration to replace self-reported metrics; geofence + ingest rate limiting.</w:t>
            </w:r>
          </w:p>
        </w:tc>
        <w:tc>
          <w:tcPr>
            <w:tcW w:type="dxa" w:w="226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SEC-04, SEC-14, SEC-15</w:t>
            </w:r>
          </w:p>
        </w:tc>
        <w:tc>
          <w:tcPr>
            <w:tcW w:type="dxa" w:w="1800"/>
            <w:shd w:fill="F4F6F8"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color w:val="1F2933"/>
                <w:sz w:val="19"/>
                <w:szCs w:val="19"/>
              </w:rPr>
              <w:t xml:space="preserve">GPS phase</w:t>
            </w:r>
          </w:p>
        </w:tc>
      </w:tr>
    </w:tbl>
    <w:p>
      <w:pPr>
        <w:pStyle w:val="Heading1"/>
        <w:pBdr>
          <w:bottom w:val="single" w:color="2563EB" w:sz="8" w:space="4"/>
        </w:pBdr>
        <w:spacing w:after="120" w:before="300"/>
      </w:pPr>
      <w:r>
        <w:rPr>
          <w:rFonts w:ascii="Calibri" w:cs="Calibri" w:eastAsia="Calibri" w:hAnsi="Calibri"/>
          <w:b/>
          <w:bCs/>
          <w:color w:val="1F2A44"/>
          <w:sz w:val="30"/>
          <w:szCs w:val="30"/>
        </w:rPr>
        <w:t xml:space="preserve">9. The One-Line Version</w:t>
      </w:r>
    </w:p>
    <w:tbl>
      <w:tblPr>
        <w:tblW w:type="dxa" w:w="9360"/>
        <w:tblBorders>
          <w:top w:val="single" w:color="FEF3F2" w:sz="4"/>
          <w:left w:val="single" w:color="C0392B" w:sz="24"/>
          <w:bottom w:val="single" w:color="FEF3F2" w:sz="4"/>
          <w:right w:val="single" w:color="FEF3F2" w:sz="4"/>
          <w:insideH w:val="none"/>
          <w:insideV w:val="none"/>
        </w:tblBorders>
      </w:tblPr>
      <w:tblGrid>
        <w:gridCol w:w="9360"/>
      </w:tblGrid>
      <w:tr>
        <w:tc>
          <w:tcPr>
            <w:tcW w:type="dxa" w:w="9360"/>
            <w:shd w:fill="FEF3F2" w:color="auto" w:val="clear"/>
            <w:tcMar>
              <w:top w:type="dxa" w:w="120"/>
              <w:left w:type="dxa" w:w="200"/>
              <w:bottom w:type="dxa" w:w="120"/>
              <w:right w:type="dxa" w:w="160"/>
            </w:tcMar>
          </w:tcPr>
          <w:p>
            <w:pPr>
              <w:spacing w:after="40" w:line="264"/>
            </w:pPr>
            <w:r>
              <w:rPr>
                <w:rFonts w:ascii="Calibri" w:cs="Calibri" w:eastAsia="Calibri" w:hAnsi="Calibri"/>
                <w:i/>
                <w:iCs/>
                <w:color w:val="1F2933"/>
                <w:sz w:val="21"/>
                <w:szCs w:val="21"/>
              </w:rPr>
              <w:t xml:space="preserve">The prototype is a faithful workflow demo but is not secure or tamper-evident — no auth, plaintext local data, and every trip metric is self-reported. The API is designed to fix most of this but is unrun, and the clients do not use it yet. The irreducible business risk, even after wiring it all up, is that without GPS and weighbridge/fuel-card integration, the numbers a trip is paid on are whatever the driver typed. That integration is what turns this from a logbook into a control.</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606D"/>
        <w:sz w:val="16"/>
        <w:szCs w:val="16"/>
      </w:rPr>
      <w:t xml:space="preserve">Page </w:t>
    </w:r>
    <w:r>
      <w:rPr>
        <w:rFonts w:ascii="Calibri" w:cs="Calibri" w:eastAsia="Calibri" w:hAnsi="Calibri"/>
        <w:color w:val="52606D"/>
        <w:sz w:val="16"/>
        <w:szCs w:val="16"/>
      </w:rPr>
      <w:fldChar w:fldCharType="begin"/>
      <w:instrText xml:space="preserve">PAGE</w:instrText>
      <w:fldChar w:fldCharType="separate"/>
      <w:fldChar w:fldCharType="end"/>
    </w:r>
    <w:r>
      <w:rPr>
        <w:rFonts w:ascii="Calibri" w:cs="Calibri" w:eastAsia="Calibri" w:hAnsi="Calibri"/>
        <w:color w:val="52606D"/>
        <w:sz w:val="16"/>
        <w:szCs w:val="16"/>
      </w:rPr>
      <w:t xml:space="preserve"> of </w:t>
    </w:r>
    <w:r>
      <w:rPr>
        <w:rFonts w:ascii="Calibri" w:cs="Calibri" w:eastAsia="Calibri" w:hAnsi="Calibri"/>
        <w:color w:val="52606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2606D"/>
        <w:sz w:val="16"/>
        <w:szCs w:val="16"/>
      </w:rPr>
      <w:t xml:space="preserve">TankerTrack · Security Assessment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TankerTrack Security Assessment</dc:title>
  <dc:creator>TankerTrack</dc:creator>
  <dc:description>Design and code security review of the TankerTrack prototype</dc:description>
  <cp:lastModifiedBy>Un-named</cp:lastModifiedBy>
  <cp:revision>1</cp:revision>
  <dcterms:created xsi:type="dcterms:W3CDTF">2026-08-08T10:26:55.557Z</dcterms:created>
  <dcterms:modified xsi:type="dcterms:W3CDTF">2026-08-08T10:26:55.557Z</dcterms:modified>
</cp:coreProperties>
</file>

<file path=docProps/custom.xml><?xml version="1.0" encoding="utf-8"?>
<Properties xmlns="http://schemas.openxmlformats.org/officeDocument/2006/custom-properties" xmlns:vt="http://schemas.openxmlformats.org/officeDocument/2006/docPropsVTypes"/>
</file>