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API 通知系统技术设计文档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API 通知系统技术设计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本文档旨在为公司内部“API 通知系统”提供一份清晰、完整且可落地的技术设计方案。读者为各业务系统开发者与平台工程团队。设计核心遵循“</w:t>
      </w:r>
      <w:r>
        <w:rPr>
          <w:rFonts w:eastAsia="等线" w:ascii="Arial" w:cs="Arial" w:hAnsi="Arial"/>
          <w:b w:val="true"/>
          <w:sz w:val="22"/>
        </w:rPr>
        <w:t>简单可靠</w:t>
      </w:r>
      <w:r>
        <w:rPr>
          <w:rFonts w:eastAsia="等线" w:ascii="Arial" w:cs="Arial" w:hAnsi="Arial"/>
          <w:sz w:val="22"/>
        </w:rPr>
        <w:t>”原则，避免过度工程化，优先保障系统的稳定与交付能力。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设计目标与范围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 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构建一个高可靠、异步化的 API 通知服务。该服务对内提供标准化的 HTTP API，接收业务方（如交易、营销、CRM 等）的通知请求；对外则负责将这些请求</w:t>
      </w:r>
      <w:r>
        <w:rPr>
          <w:rFonts w:eastAsia="等线" w:ascii="Arial" w:cs="Arial" w:hAnsi="Arial"/>
          <w:b w:val="true"/>
          <w:sz w:val="22"/>
        </w:rPr>
        <w:t>可靠地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最终地</w:t>
      </w:r>
      <w:r>
        <w:rPr>
          <w:rFonts w:eastAsia="等线" w:ascii="Arial" w:cs="Arial" w:hAnsi="Arial"/>
          <w:sz w:val="22"/>
        </w:rPr>
        <w:t>派发至指定的外部合作方 API。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核心价值在于 </w:t>
      </w:r>
      <w:r>
        <w:rPr>
          <w:rFonts w:eastAsia="等线" w:ascii="Arial" w:cs="Arial" w:hAnsi="Arial"/>
          <w:b w:val="true"/>
          <w:sz w:val="22"/>
        </w:rPr>
        <w:t>“发出去”</w:t>
      </w:r>
      <w:r>
        <w:rPr>
          <w:rFonts w:eastAsia="等线" w:ascii="Arial" w:cs="Arial" w:hAnsi="Arial"/>
          <w:sz w:val="22"/>
        </w:rPr>
        <w:t>：业务方只需调用本系统一次，即可将通知的派发与重试责任完全托管，自身不再关心后续的返回结果与送达状态。本系统承诺“尽力而为”地完成通知，但不保证外部系统的最终处理结果。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 功能范围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异步任务受理</w:t>
      </w:r>
      <w:r>
        <w:rPr>
          <w:rFonts w:eastAsia="等线" w:ascii="Arial" w:cs="Arial" w:hAnsi="Arial"/>
          <w:sz w:val="22"/>
        </w:rPr>
        <w:t>：提供 HTTP API，用于接收并持久化通知任务。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可靠派发与重试</w:t>
      </w:r>
      <w:r>
        <w:rPr>
          <w:rFonts w:eastAsia="等线" w:ascii="Arial" w:cs="Arial" w:hAnsi="Arial"/>
          <w:sz w:val="22"/>
        </w:rPr>
        <w:t>：实现带指数退避与抖动的后台重试机制，应对网络抖动与外部服务临时不可用。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可配置的成功判定</w:t>
      </w:r>
      <w:r>
        <w:rPr>
          <w:rFonts w:eastAsia="等线" w:ascii="Arial" w:cs="Arial" w:hAnsi="Arial"/>
          <w:sz w:val="22"/>
        </w:rPr>
        <w:t>：提供灵活的成功判定策略，可按合作方维度进行配置。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幂等性保障</w:t>
      </w:r>
      <w:r>
        <w:rPr>
          <w:rFonts w:eastAsia="等线" w:ascii="Arial" w:cs="Arial" w:hAnsi="Arial"/>
          <w:sz w:val="22"/>
        </w:rPr>
        <w:t>：防止因客户端重试或系统内部状态问题导致的重复派发。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安全合规</w:t>
      </w:r>
      <w:r>
        <w:rPr>
          <w:rFonts w:eastAsia="等线" w:ascii="Arial" w:cs="Arial" w:hAnsi="Arial"/>
          <w:sz w:val="22"/>
        </w:rPr>
        <w:t>：内置域名白名单、敏感信息加密、出站代理等安全措施。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：提供完善的日志、指标与告警，便于排障与容量管理。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 默认送达判定与可配置策略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为兼顾通用性与灵活性，系统内置默认的成功与重试判定逻辑，同时支持按合作方（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>）进行策略覆盖。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默认成功判定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HTTP 状态码为 </w:t>
      </w:r>
      <w:r>
        <w:rPr>
          <w:rFonts w:eastAsia="Consolas" w:ascii="Consolas" w:cs="Consolas" w:hAnsi="Consolas"/>
          <w:sz w:val="22"/>
          <w:shd w:fill="EFF0F1"/>
        </w:rPr>
        <w:t>2xx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3xx</w:t>
      </w:r>
      <w:r>
        <w:rPr>
          <w:rFonts w:eastAsia="等线" w:ascii="Arial" w:cs="Arial" w:hAnsi="Arial"/>
          <w:sz w:val="22"/>
        </w:rPr>
        <w:t xml:space="preserve"> 的响应，</w:t>
      </w:r>
      <w:r>
        <w:rPr>
          <w:rFonts w:eastAsia="等线" w:ascii="Arial" w:cs="Arial" w:hAnsi="Arial"/>
          <w:b w:val="true"/>
          <w:sz w:val="22"/>
        </w:rPr>
        <w:t>默认视为送达成功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默认重试条件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网络层错误</w:t>
      </w:r>
      <w:r>
        <w:rPr>
          <w:rFonts w:eastAsia="等线" w:ascii="Arial" w:cs="Arial" w:hAnsi="Arial"/>
          <w:sz w:val="22"/>
        </w:rPr>
        <w:t>：连接超时、DNS 解析失败等。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HTTP </w:t>
      </w:r>
      <w:r>
        <w:rPr>
          <w:rFonts w:eastAsia="Consolas" w:ascii="Consolas" w:cs="Consolas" w:hAnsi="Consolas"/>
          <w:b w:val="true"/>
          <w:sz w:val="22"/>
          <w:shd w:fill="EFF0F1"/>
        </w:rPr>
        <w:t>5xx</w:t>
      </w:r>
      <w:r>
        <w:rPr>
          <w:rFonts w:eastAsia="等线" w:ascii="Arial" w:cs="Arial" w:hAnsi="Arial"/>
          <w:b w:val="true"/>
          <w:sz w:val="22"/>
        </w:rPr>
        <w:t xml:space="preserve"> 状态码</w:t>
      </w:r>
      <w:r>
        <w:rPr>
          <w:rFonts w:eastAsia="等线" w:ascii="Arial" w:cs="Arial" w:hAnsi="Arial"/>
          <w:sz w:val="22"/>
        </w:rPr>
        <w:t>：表示服务端临时故障，适合重试。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HTTP </w:t>
      </w:r>
      <w:r>
        <w:rPr>
          <w:rFonts w:eastAsia="Consolas" w:ascii="Consolas" w:cs="Consolas" w:hAnsi="Consolas"/>
          <w:b w:val="true"/>
          <w:sz w:val="22"/>
          <w:shd w:fill="EFF0F1"/>
        </w:rPr>
        <w:t>429 Too Many Requests</w:t>
      </w:r>
      <w:r>
        <w:rPr>
          <w:rFonts w:eastAsia="等线" w:ascii="Arial" w:cs="Arial" w:hAnsi="Arial"/>
          <w:sz w:val="22"/>
        </w:rPr>
        <w:t xml:space="preserve">：明确的速率限制信号，应遵循其指示（如 </w:t>
      </w:r>
      <w:r>
        <w:rPr>
          <w:rFonts w:eastAsia="Consolas" w:ascii="Consolas" w:cs="Consolas" w:hAnsi="Consolas"/>
          <w:sz w:val="22"/>
          <w:shd w:fill="EFF0F1"/>
        </w:rPr>
        <w:t>Retry-After</w:t>
      </w:r>
      <w:r>
        <w:rPr>
          <w:rFonts w:eastAsia="等线" w:ascii="Arial" w:cs="Arial" w:hAnsi="Arial"/>
          <w:sz w:val="22"/>
        </w:rPr>
        <w:t xml:space="preserve"> 头）进行退避重试。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默认不重试条件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HTTP </w:t>
      </w:r>
      <w:r>
        <w:rPr>
          <w:rFonts w:eastAsia="Consolas" w:ascii="Consolas" w:cs="Consolas" w:hAnsi="Consolas"/>
          <w:b w:val="true"/>
          <w:sz w:val="22"/>
          <w:shd w:fill="EFF0F1"/>
        </w:rPr>
        <w:t>4xx</w:t>
      </w:r>
      <w:r>
        <w:rPr>
          <w:rFonts w:eastAsia="等线" w:ascii="Arial" w:cs="Arial" w:hAnsi="Arial"/>
          <w:b w:val="true"/>
          <w:sz w:val="22"/>
        </w:rPr>
        <w:t xml:space="preserve"> 状态码（除 </w:t>
      </w:r>
      <w:r>
        <w:rPr>
          <w:rFonts w:eastAsia="Consolas" w:ascii="Consolas" w:cs="Consolas" w:hAnsi="Consolas"/>
          <w:b w:val="true"/>
          <w:sz w:val="22"/>
          <w:shd w:fill="EFF0F1"/>
        </w:rPr>
        <w:t>429</w:t>
      </w:r>
      <w:r>
        <w:rPr>
          <w:rFonts w:eastAsia="等线" w:ascii="Arial" w:cs="Arial" w:hAnsi="Arial"/>
          <w:b w:val="true"/>
          <w:sz w:val="22"/>
        </w:rPr>
        <w:t xml:space="preserve"> 外）</w:t>
      </w:r>
      <w:r>
        <w:rPr>
          <w:rFonts w:eastAsia="等线" w:ascii="Arial" w:cs="Arial" w:hAnsi="Arial"/>
          <w:sz w:val="22"/>
        </w:rPr>
        <w:t xml:space="preserve">：如 </w:t>
      </w:r>
      <w:r>
        <w:rPr>
          <w:rFonts w:eastAsia="Consolas" w:ascii="Consolas" w:cs="Consolas" w:hAnsi="Consolas"/>
          <w:sz w:val="22"/>
          <w:shd w:fill="EFF0F1"/>
        </w:rPr>
        <w:t>400 Bad Request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401 Unauthorized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403 Forbidden</w:t>
      </w:r>
      <w:r>
        <w:rPr>
          <w:rFonts w:eastAsia="等线" w:ascii="Arial" w:cs="Arial" w:hAnsi="Arial"/>
          <w:sz w:val="22"/>
        </w:rPr>
        <w:t>。这些通常表示请求本身存在</w:t>
      </w:r>
      <w:r>
        <w:rPr>
          <w:rFonts w:eastAsia="等线" w:ascii="Arial" w:cs="Arial" w:hAnsi="Arial"/>
          <w:b w:val="true"/>
          <w:sz w:val="22"/>
        </w:rPr>
        <w:t>确定性错误</w:t>
      </w:r>
      <w:r>
        <w:rPr>
          <w:rFonts w:eastAsia="等线" w:ascii="Arial" w:cs="Arial" w:hAnsi="Arial"/>
          <w:sz w:val="22"/>
        </w:rPr>
        <w:t>（如参数错误、权限不足），重试大概率会得到相同结果，因此</w:t>
      </w:r>
      <w:r>
        <w:rPr>
          <w:rFonts w:eastAsia="等线" w:ascii="Arial" w:cs="Arial" w:hAnsi="Arial"/>
          <w:b w:val="true"/>
          <w:sz w:val="22"/>
        </w:rPr>
        <w:t>默认直接标记为失败</w:t>
      </w:r>
      <w:r>
        <w:rPr>
          <w:rFonts w:eastAsia="等线" w:ascii="Arial" w:cs="Arial" w:hAnsi="Arial"/>
          <w:sz w:val="22"/>
        </w:rPr>
        <w:t>，不再重试。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可配置覆盖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业务方可在接入时，为特定的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 定义覆盖默认策略。例如，某个合作方的 API 在处理成功时会返回 </w:t>
      </w:r>
      <w:r>
        <w:rPr>
          <w:rFonts w:eastAsia="Consolas" w:ascii="Consolas" w:cs="Consolas" w:hAnsi="Consolas"/>
          <w:sz w:val="22"/>
          <w:shd w:fill="EFF0F1"/>
        </w:rPr>
        <w:t>404</w:t>
      </w:r>
      <w:r>
        <w:rPr>
          <w:rFonts w:eastAsia="等线" w:ascii="Arial" w:cs="Arial" w:hAnsi="Arial"/>
          <w:sz w:val="22"/>
        </w:rPr>
        <w:t xml:space="preserve">，则可配置将 </w:t>
      </w:r>
      <w:r>
        <w:rPr>
          <w:rFonts w:eastAsia="Consolas" w:ascii="Consolas" w:cs="Consolas" w:hAnsi="Consolas"/>
          <w:sz w:val="22"/>
          <w:shd w:fill="EFF0F1"/>
        </w:rPr>
        <w:t>404</w:t>
      </w:r>
      <w:r>
        <w:rPr>
          <w:rFonts w:eastAsia="等线" w:ascii="Arial" w:cs="Arial" w:hAnsi="Arial"/>
          <w:sz w:val="22"/>
        </w:rPr>
        <w:t xml:space="preserve"> 视为此合作方的成功状态。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总体架构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本系统采用经典的 </w:t>
      </w:r>
      <w:r>
        <w:rPr>
          <w:rFonts w:eastAsia="等线" w:ascii="Arial" w:cs="Arial" w:hAnsi="Arial"/>
          <w:b w:val="true"/>
          <w:sz w:val="22"/>
        </w:rPr>
        <w:t>Outbox Pattern</w:t>
      </w:r>
      <w:r>
        <w:rPr>
          <w:rFonts w:eastAsia="等线" w:ascii="Arial" w:cs="Arial" w:hAnsi="Arial"/>
          <w:sz w:val="22"/>
        </w:rPr>
        <w:t>（发件箱模式）实现异步解耦与可靠交付，其核心优势在于</w:t>
      </w:r>
      <w:r>
        <w:rPr>
          <w:rFonts w:eastAsia="等线" w:ascii="Arial" w:cs="Arial" w:hAnsi="Arial"/>
          <w:b w:val="true"/>
          <w:sz w:val="22"/>
        </w:rPr>
        <w:t>简单可靠</w:t>
      </w:r>
      <w:r>
        <w:rPr>
          <w:rFonts w:eastAsia="等线" w:ascii="Arial" w:cs="Arial" w:hAnsi="Arial"/>
          <w:sz w:val="22"/>
        </w:rPr>
        <w:t>，不引入外部消息队列（如 Kafka、NSQ）等重量级组件，仅依赖</w:t>
      </w:r>
      <w:r>
        <w:rPr>
          <w:rFonts w:eastAsia="等线" w:ascii="Arial" w:cs="Arial" w:hAnsi="Arial"/>
          <w:b w:val="true"/>
          <w:sz w:val="22"/>
        </w:rPr>
        <w:t>关系型数据库</w:t>
      </w:r>
      <w:r>
        <w:rPr>
          <w:rFonts w:eastAsia="等线" w:ascii="Arial" w:cs="Arial" w:hAnsi="Arial"/>
          <w:sz w:val="22"/>
        </w:rPr>
        <w:t>（如 MySQL/Postgres）即可完成核心功能。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2.1. 核心数据流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提交任务</w:t>
      </w:r>
      <w:r>
        <w:rPr>
          <w:rFonts w:eastAsia="等线" w:ascii="Arial" w:cs="Arial" w:hAnsi="Arial"/>
          <w:sz w:val="22"/>
        </w:rPr>
        <w:t xml:space="preserve">：业务系统通过内部服务间调用，向 API 通知系统的 </w:t>
      </w:r>
      <w:r>
        <w:rPr>
          <w:rFonts w:eastAsia="等线" w:ascii="Arial" w:cs="Arial" w:hAnsi="Arial"/>
          <w:b w:val="true"/>
          <w:sz w:val="22"/>
        </w:rPr>
        <w:t>HTTP 接入层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/v1/notify</w:t>
      </w:r>
      <w:r>
        <w:rPr>
          <w:rFonts w:eastAsia="等线" w:ascii="Arial" w:cs="Arial" w:hAnsi="Arial"/>
          <w:sz w:val="22"/>
        </w:rPr>
        <w:t>) 发起请求，提交通知任务。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持久化</w:t>
      </w:r>
      <w:r>
        <w:rPr>
          <w:rFonts w:eastAsia="等线" w:ascii="Arial" w:cs="Arial" w:hAnsi="Arial"/>
          <w:sz w:val="22"/>
        </w:rPr>
        <w:t>：接入层完成参数校验、鉴权与幂等性检查后，将通知任务的核心信息（目标 URL、请求体、Header 等）封装成一条记录，</w:t>
      </w:r>
      <w:r>
        <w:rPr>
          <w:rFonts w:eastAsia="等线" w:ascii="Arial" w:cs="Arial" w:hAnsi="Arial"/>
          <w:b w:val="true"/>
          <w:sz w:val="22"/>
        </w:rPr>
        <w:t xml:space="preserve">原子地写入数据库的 </w:t>
      </w:r>
      <w:r>
        <w:rPr>
          <w:rFonts w:eastAsia="Consolas" w:ascii="Consolas" w:cs="Consolas" w:hAnsi="Consolas"/>
          <w:b w:val="true"/>
          <w:sz w:val="22"/>
          <w:shd w:fill="EFF0F1"/>
        </w:rPr>
        <w:t>NotificationTask</w:t>
      </w:r>
      <w:r>
        <w:rPr>
          <w:rFonts w:eastAsia="等线" w:ascii="Arial" w:cs="Arial" w:hAnsi="Arial"/>
          <w:b w:val="true"/>
          <w:sz w:val="22"/>
        </w:rPr>
        <w:t xml:space="preserve"> 表</w:t>
      </w:r>
      <w:r>
        <w:rPr>
          <w:rFonts w:eastAsia="等线" w:ascii="Arial" w:cs="Arial" w:hAnsi="Arial"/>
          <w:sz w:val="22"/>
        </w:rPr>
        <w:t xml:space="preserve">，初始状态为 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 xml:space="preserve">。成功写入后，立即向业务方返回 </w:t>
      </w: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>，表示任务已受理。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轮询与锁定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后台派发 Worker</w:t>
      </w:r>
      <w:r>
        <w:rPr>
          <w:rFonts w:eastAsia="等线" w:ascii="Arial" w:cs="Arial" w:hAnsi="Arial"/>
          <w:sz w:val="22"/>
        </w:rPr>
        <w:t xml:space="preserve">（一个或多个独立的进程/协程）通过定时轮询的方式，从 </w:t>
      </w:r>
      <w:r>
        <w:rPr>
          <w:rFonts w:eastAsia="Consolas" w:ascii="Consolas" w:cs="Consolas" w:hAnsi="Consolas"/>
          <w:sz w:val="22"/>
          <w:shd w:fill="EFF0F1"/>
        </w:rPr>
        <w:t>NotificationTask</w:t>
      </w:r>
      <w:r>
        <w:rPr>
          <w:rFonts w:eastAsia="等线" w:ascii="Arial" w:cs="Arial" w:hAnsi="Arial"/>
          <w:sz w:val="22"/>
        </w:rPr>
        <w:t xml:space="preserve"> 表中捞取 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 xml:space="preserve"> 状态且到达执行时间的任务。为避免多实例并发执行同一任务，采用 </w:t>
      </w:r>
      <w:r>
        <w:rPr>
          <w:rFonts w:eastAsia="Consolas" w:ascii="Consolas" w:cs="Consolas" w:hAnsi="Consolas"/>
          <w:sz w:val="22"/>
          <w:shd w:fill="EFF0F1"/>
        </w:rPr>
        <w:t>SELECT ... FOR UPDATE SKIP LOCKED</w:t>
      </w:r>
      <w:r>
        <w:rPr>
          <w:rFonts w:eastAsia="等线" w:ascii="Arial" w:cs="Arial" w:hAnsi="Arial"/>
          <w:sz w:val="22"/>
        </w:rPr>
        <w:t xml:space="preserve"> 机制，原子地锁定待处理的任务并将其状态更新为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执行派发</w:t>
      </w:r>
      <w:r>
        <w:rPr>
          <w:rFonts w:eastAsia="等线" w:ascii="Arial" w:cs="Arial" w:hAnsi="Arial"/>
          <w:sz w:val="22"/>
        </w:rPr>
        <w:t>：Worker 解析任务内容，通过 HTTP 客户端向外部合作方 API 发起调用。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成功</w:t>
      </w:r>
      <w:r>
        <w:rPr>
          <w:rFonts w:eastAsia="等线" w:ascii="Arial" w:cs="Arial" w:hAnsi="Arial"/>
          <w:sz w:val="22"/>
        </w:rPr>
        <w:t xml:space="preserve">：根据预设的成功判定策略（如 HTTP 2xx），将任务状态更新为 </w:t>
      </w:r>
      <w:r>
        <w:rPr>
          <w:rFonts w:eastAsia="Consolas" w:ascii="Consolas" w:cs="Consolas" w:hAnsi="Consolas"/>
          <w:sz w:val="22"/>
          <w:shd w:fill="EFF0F1"/>
        </w:rPr>
        <w:t>succeeded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失败（可重试）</w:t>
      </w:r>
      <w:r>
        <w:rPr>
          <w:rFonts w:eastAsia="等线" w:ascii="Arial" w:cs="Arial" w:hAnsi="Arial"/>
          <w:sz w:val="22"/>
        </w:rPr>
        <w:t>：若判定为可重试错误（如 5xx、网络超时），则根据指数退避算法计算下一次执行时间，更新任务的重试次数，并将状态</w:t>
      </w:r>
      <w:r>
        <w:rPr>
          <w:rFonts w:eastAsia="等线" w:ascii="Arial" w:cs="Arial" w:hAnsi="Arial"/>
          <w:b w:val="true"/>
          <w:sz w:val="22"/>
        </w:rPr>
        <w:t xml:space="preserve">改回 </w:t>
      </w:r>
      <w:r>
        <w:rPr>
          <w:rFonts w:eastAsia="Consolas" w:ascii="Consolas" w:cs="Consolas" w:hAnsi="Consolas"/>
          <w:b w:val="true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失败（不可重试）</w:t>
      </w:r>
      <w:r>
        <w:rPr>
          <w:rFonts w:eastAsia="等线" w:ascii="Arial" w:cs="Arial" w:hAnsi="Arial"/>
          <w:sz w:val="22"/>
        </w:rPr>
        <w:t xml:space="preserve">：若判定为不可重试错误（如 4xx），或重试次数已达上限，则将任务状态更新为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dead</w:t>
      </w:r>
      <w:r>
        <w:rPr>
          <w:rFonts w:eastAsia="等线" w:ascii="Arial" w:cs="Arial" w:hAnsi="Arial"/>
          <w:sz w:val="22"/>
        </w:rPr>
        <w:t>，不再尝试。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记录尝试</w:t>
      </w:r>
      <w:r>
        <w:rPr>
          <w:rFonts w:eastAsia="等线" w:ascii="Arial" w:cs="Arial" w:hAnsi="Arial"/>
          <w:sz w:val="22"/>
        </w:rPr>
        <w:t xml:space="preserve">：每次派发（无论是成功还是失败）的详细信息，如 HTTP 状态码、响应头摘要、延迟等，都将记录在 </w:t>
      </w:r>
      <w:r>
        <w:rPr>
          <w:rFonts w:eastAsia="Consolas" w:ascii="Consolas" w:cs="Consolas" w:hAnsi="Consolas"/>
          <w:sz w:val="22"/>
          <w:shd w:fill="EFF0F1"/>
        </w:rPr>
        <w:t>NotificationAttempt</w:t>
      </w:r>
      <w:r>
        <w:rPr>
          <w:rFonts w:eastAsia="等线" w:ascii="Arial" w:cs="Arial" w:hAnsi="Arial"/>
          <w:sz w:val="22"/>
        </w:rPr>
        <w:t xml:space="preserve"> 表中，用于后续的审计与排障。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 设计取舍</w:t>
      </w:r>
      <w:bookmarkEnd w:id="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为什么不用消息队列（MQ）？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简单性优先</w:t>
      </w:r>
      <w:r>
        <w:rPr>
          <w:rFonts w:eastAsia="等线" w:ascii="Arial" w:cs="Arial" w:hAnsi="Arial"/>
          <w:sz w:val="22"/>
        </w:rPr>
        <w:t>：引入 MQ 会增加系统复杂度和运维成本（部署、监控、高可用）。对于中低并发的通知场景，数据库的 Outbox 模式完全够用，且更易于维护和理解。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事务一致性</w:t>
      </w:r>
      <w:r>
        <w:rPr>
          <w:rFonts w:eastAsia="等线" w:ascii="Arial" w:cs="Arial" w:hAnsi="Arial"/>
          <w:sz w:val="22"/>
        </w:rPr>
        <w:t>：如果业务操作与发送通知需要在同一个事务中完成，Outbox 模式能更好地保证一致性。虽然本系统是独立服务，但其设计思想源于此，保证了任务的“至少一次”受理。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有序性与依赖管理</w:t>
      </w:r>
      <w:r>
        <w:rPr>
          <w:rFonts w:eastAsia="等线" w:ascii="Arial" w:cs="Arial" w:hAnsi="Arial"/>
          <w:sz w:val="22"/>
        </w:rPr>
        <w:t>：对于需要严格顺序或复杂依赖管理的场景，MQ 更具优势。但本系统的通知任务通常是独立的，不要求严格的先后顺序。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关键组件设计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 接入层 (REST API)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接入层是系统的入口，负责接收、校验和持久化任务。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接口定义</w:t>
      </w:r>
      <w:r>
        <w:rPr>
          <w:rFonts w:eastAsia="等线" w:ascii="Arial" w:cs="Arial" w:hAnsi="Arial"/>
          <w:sz w:val="22"/>
        </w:rPr>
        <w:t xml:space="preserve">：提供 </w:t>
      </w:r>
      <w:r>
        <w:rPr>
          <w:rFonts w:eastAsia="Consolas" w:ascii="Consolas" w:cs="Consolas" w:hAnsi="Consolas"/>
          <w:sz w:val="22"/>
          <w:shd w:fill="EFF0F1"/>
        </w:rPr>
        <w:t>POST /v1/notify</w:t>
      </w:r>
      <w:r>
        <w:rPr>
          <w:rFonts w:eastAsia="等线" w:ascii="Arial" w:cs="Arial" w:hAnsi="Arial"/>
          <w:sz w:val="22"/>
        </w:rPr>
        <w:t xml:space="preserve"> 接口用于任务提交，</w:t>
      </w:r>
      <w:r>
        <w:rPr>
          <w:rFonts w:eastAsia="Consolas" w:ascii="Consolas" w:cs="Consolas" w:hAnsi="Consolas"/>
          <w:sz w:val="22"/>
          <w:shd w:fill="EFF0F1"/>
        </w:rPr>
        <w:t>GET /v1/notify/{id}</w:t>
      </w:r>
      <w:r>
        <w:rPr>
          <w:rFonts w:eastAsia="等线" w:ascii="Arial" w:cs="Arial" w:hAnsi="Arial"/>
          <w:sz w:val="22"/>
        </w:rPr>
        <w:t xml:space="preserve"> 用于状态查询。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参数校验</w:t>
      </w:r>
      <w:r>
        <w:rPr>
          <w:rFonts w:eastAsia="等线" w:ascii="Arial" w:cs="Arial" w:hAnsi="Arial"/>
          <w:sz w:val="22"/>
        </w:rPr>
        <w:t xml:space="preserve">：对输入参数进行严格校验，包括 </w:t>
      </w:r>
      <w:r>
        <w:rPr>
          <w:rFonts w:eastAsia="Consolas" w:ascii="Consolas" w:cs="Consolas" w:hAnsi="Consolas"/>
          <w:sz w:val="22"/>
          <w:shd w:fill="EFF0F1"/>
        </w:rPr>
        <w:t>target_url</w:t>
      </w:r>
      <w:r>
        <w:rPr>
          <w:rFonts w:eastAsia="等线" w:ascii="Arial" w:cs="Arial" w:hAnsi="Arial"/>
          <w:sz w:val="22"/>
        </w:rPr>
        <w:t xml:space="preserve"> 的格式、</w:t>
      </w:r>
      <w:r>
        <w:rPr>
          <w:rFonts w:eastAsia="Consolas" w:ascii="Consolas" w:cs="Consolas" w:hAnsi="Consolas"/>
          <w:sz w:val="22"/>
          <w:shd w:fill="EFF0F1"/>
        </w:rPr>
        <w:t>method</w:t>
      </w:r>
      <w:r>
        <w:rPr>
          <w:rFonts w:eastAsia="等线" w:ascii="Arial" w:cs="Arial" w:hAnsi="Arial"/>
          <w:sz w:val="22"/>
        </w:rPr>
        <w:t xml:space="preserve"> 的合法性（如仅允许 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>）、</w:t>
      </w:r>
      <w:r>
        <w:rPr>
          <w:rFonts w:eastAsia="Consolas" w:ascii="Consolas" w:cs="Consolas" w:hAnsi="Consolas"/>
          <w:sz w:val="22"/>
          <w:shd w:fill="EFF0F1"/>
        </w:rPr>
        <w:t>headers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的大小限制等。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域名白名单 (SSRF 防护)</w:t>
      </w:r>
      <w:r>
        <w:rPr>
          <w:rFonts w:eastAsia="等线" w:ascii="Arial" w:cs="Arial" w:hAnsi="Arial"/>
          <w:sz w:val="22"/>
        </w:rPr>
        <w:t>：为防止服务端请求伪造 (SSRF) 攻击，系统维护一份</w:t>
      </w:r>
      <w:r>
        <w:rPr>
          <w:rFonts w:eastAsia="等线" w:ascii="Arial" w:cs="Arial" w:hAnsi="Arial"/>
          <w:b w:val="true"/>
          <w:sz w:val="22"/>
        </w:rPr>
        <w:t>目标域名白名单</w:t>
      </w:r>
      <w:r>
        <w:rPr>
          <w:rFonts w:eastAsia="等线" w:ascii="Arial" w:cs="Arial" w:hAnsi="Arial"/>
          <w:sz w:val="22"/>
        </w:rPr>
        <w:t xml:space="preserve">。所有 </w:t>
      </w:r>
      <w:r>
        <w:rPr>
          <w:rFonts w:eastAsia="Consolas" w:ascii="Consolas" w:cs="Consolas" w:hAnsi="Consolas"/>
          <w:sz w:val="22"/>
          <w:shd w:fill="EFF0F1"/>
        </w:rPr>
        <w:t>target_url</w:t>
      </w:r>
      <w:r>
        <w:rPr>
          <w:rFonts w:eastAsia="等线" w:ascii="Arial" w:cs="Arial" w:hAnsi="Arial"/>
          <w:sz w:val="22"/>
        </w:rPr>
        <w:t xml:space="preserve"> 中的域名必须在该白名单内，否则直接拒绝请求。白名单支持前缀匹配，如 </w:t>
      </w:r>
      <w:r>
        <w:rPr>
          <w:rFonts w:eastAsia="Consolas" w:ascii="Consolas" w:cs="Consolas" w:hAnsi="Consolas"/>
          <w:sz w:val="22"/>
          <w:shd w:fill="EFF0F1"/>
        </w:rPr>
        <w:t>*.example.com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服务间鉴权</w:t>
      </w:r>
      <w:r>
        <w:rPr>
          <w:rFonts w:eastAsia="等线" w:ascii="Arial" w:cs="Arial" w:hAnsi="Arial"/>
          <w:sz w:val="22"/>
        </w:rPr>
        <w:t xml:space="preserve">：调用方需携带有效的服务凭证（如内部约定的 </w:t>
      </w:r>
      <w:r>
        <w:rPr>
          <w:rFonts w:eastAsia="Consolas" w:ascii="Consolas" w:cs="Consolas" w:hAnsi="Consolas"/>
          <w:sz w:val="22"/>
          <w:shd w:fill="EFF0F1"/>
        </w:rPr>
        <w:t>Auth-Token</w:t>
      </w:r>
      <w:r>
        <w:rPr>
          <w:rFonts w:eastAsia="等线" w:ascii="Arial" w:cs="Arial" w:hAnsi="Arial"/>
          <w:sz w:val="22"/>
        </w:rPr>
        <w:t>），接入层会进行校验，确保只有授权的业务系统才能使用本服务。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幂等性支持</w:t>
      </w:r>
      <w:r>
        <w:rPr>
          <w:rFonts w:eastAsia="等线" w:ascii="Arial" w:cs="Arial" w:hAnsi="Arial"/>
          <w:sz w:val="22"/>
        </w:rPr>
        <w:t xml:space="preserve">：调用方可通过请求头或请求体传入 </w:t>
      </w:r>
      <w:r>
        <w:rPr>
          <w:rFonts w:eastAsia="Consolas" w:ascii="Consolas" w:cs="Consolas" w:hAnsi="Consolas"/>
          <w:sz w:val="22"/>
          <w:shd w:fill="EFF0F1"/>
        </w:rPr>
        <w:t>Idempotency-Key</w:t>
      </w:r>
      <w:r>
        <w:rPr>
          <w:rFonts w:eastAsia="等线" w:ascii="Arial" w:cs="Arial" w:hAnsi="Arial"/>
          <w:sz w:val="22"/>
        </w:rPr>
        <w:t>。详见“幂等与去重”一节。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 持久化模型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数据模型是系统的核心，定义了任务的生命周期与状态流转。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 xml:space="preserve">3.2.1. </w:t>
      </w:r>
      <w:r>
        <w:rPr>
          <w:rFonts w:eastAsia="Consolas" w:ascii="Consolas" w:cs="Consolas" w:hAnsi="Consolas"/>
          <w:b w:val="true"/>
          <w:sz w:val="28"/>
          <w:shd w:fill="EFF0F1"/>
        </w:rPr>
        <w:t>notification_tasks</w:t>
      </w:r>
      <w:r>
        <w:rPr>
          <w:rFonts w:eastAsia="等线" w:ascii="Arial" w:cs="Arial" w:hAnsi="Arial"/>
          <w:b w:val="true"/>
          <w:sz w:val="28"/>
        </w:rPr>
        <w:t xml:space="preserve"> 表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存储通知任务的主体信息。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主键，任务唯一标识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VARCHAR(64)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对外暴露的任务 ID，可为 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唯一索引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partner_id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VARCHAR(64)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合作方/租户标识，用于策略与限速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联合索引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partner_id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next_attempt_at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idempotency_key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VARCHAR(128)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幂等键，与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partner_id</w:t>
            </w:r>
            <w:r>
              <w:rPr>
                <w:rFonts w:eastAsia="等线" w:ascii="Arial" w:cs="Arial" w:hAnsi="Arial"/>
                <w:sz w:val="22"/>
              </w:rPr>
              <w:t xml:space="preserve"> 组合使用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唯一索引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partner_id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idempotency_key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VARCHAR(16)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pending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running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succeeded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failed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dead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联合索引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next_attempt_at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target_url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VARCHAR(2048)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http_method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VARCHAR(16)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http_headers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TEXT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JSONB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请求头（加密存储敏感值）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http_body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TEXT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BLOB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请求体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attempt_count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已尝试次数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max_attempts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最大允许尝试次数，默认值如 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next_attempt_at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下次尝试的调度时间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联合索引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next_attempt_at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last_attempt_at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上次尝试的执行时间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3.2.2. </w:t>
      </w:r>
      <w:r>
        <w:rPr>
          <w:rFonts w:eastAsia="Consolas" w:ascii="Consolas" w:cs="Consolas" w:hAnsi="Consolas"/>
          <w:b w:val="true"/>
          <w:sz w:val="28"/>
          <w:shd w:fill="EFF0F1"/>
        </w:rPr>
        <w:t>notification_attempts</w:t>
      </w:r>
      <w:r>
        <w:rPr>
          <w:rFonts w:eastAsia="等线" w:ascii="Arial" w:cs="Arial" w:hAnsi="Arial"/>
          <w:b w:val="true"/>
          <w:sz w:val="28"/>
        </w:rPr>
        <w:t xml:space="preserve"> 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记录每一次派发尝试的详细结果。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notification_tasks</w:t>
            </w:r>
            <w:r>
              <w:rPr>
                <w:rFonts w:eastAsia="等线" w:ascii="Arial" w:cs="Arial" w:hAnsi="Arial"/>
                <w:sz w:val="22"/>
              </w:rPr>
              <w:t xml:space="preserve"> 的主键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attempt_number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尝试序号，从 1 开始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响应状态码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response_headers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TEXT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JSONB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响应头摘要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response_body_summary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响应体摘要（默认只记录前 1KB 或哈希值）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latency_ms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派发延迟（毫秒）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error_message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错误信息（如网络错误）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3.2.3. 状态机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任务状态流转是核心逻辑，确保任务在不同阶段的正确处理。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>：初始状态或等待下一次重试。Worker 的主要扫描目标。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>：已被 Worker 锁定并正在处理。防止其他 Worker 重复执行。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succeeded</w:t>
      </w:r>
      <w:r>
        <w:rPr>
          <w:rFonts w:eastAsia="等线" w:ascii="Arial" w:cs="Arial" w:hAnsi="Arial"/>
          <w:sz w:val="22"/>
        </w:rPr>
        <w:t>：成功送达，终态。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>：因不可重试错误（如 4xx）而失败，终态。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dead</w:t>
      </w:r>
      <w:r>
        <w:rPr>
          <w:rFonts w:eastAsia="等线" w:ascii="Arial" w:cs="Arial" w:hAnsi="Arial"/>
          <w:sz w:val="22"/>
        </w:rPr>
        <w:t>：达到最大重试次数后仍未成功，终态。需要人工介入或归档。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派发与重试 (Worker)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 Worker 是保证通知送达的核心执行者。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4.1. 核心逻辑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Worker 进程（或一组进程/协程）以固定频率（如每秒）执行以下循环：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查询并锁定任务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* FROM notification_tasks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WHERE status = 'pending' AND next_attempt_at &lt;= NOW()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ORDER BY priority DESC, next_attempt_at ASC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LIMIT 100 </w:t>
              <w:br/>
            </w:r>
            <w:r>
              <w:rPr>
                <w:rFonts w:eastAsia="Consolas" w:ascii="Consolas" w:cs="Consolas" w:hAnsi="Consolas"/>
                <w:sz w:val="22"/>
              </w:rPr>
              <w:t>FOR UPDATE SKIP LOCKED;</w:t>
              <w:br/>
            </w:r>
          </w:p>
        </w:tc>
      </w:tr>
    </w:tbl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SKIP LOCKED</w:t>
      </w:r>
      <w:r>
        <w:rPr>
          <w:rFonts w:eastAsia="等线" w:ascii="Arial" w:cs="Arial" w:hAnsi="Arial"/>
          <w:sz w:val="22"/>
        </w:rPr>
        <w:t>: 关键特性，允许不同 Worker 实例并发执行此查询而不会相互阻塞，各自获取不同的任务行，实现了简单的分布式任务分发。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>: 批量获取任务以提高吞吐量。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更新状态</w:t>
      </w:r>
      <w:r>
        <w:rPr>
          <w:rFonts w:eastAsia="等线" w:ascii="Arial" w:cs="Arial" w:hAnsi="Arial"/>
          <w:sz w:val="22"/>
        </w:rPr>
        <w:t xml:space="preserve">：将获取到的任务状态立即更新为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>，防止其他轮询（即使非常罕见）拿到相同的任务。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执行派发</w:t>
      </w:r>
      <w:r>
        <w:rPr>
          <w:rFonts w:eastAsia="等线" w:ascii="Arial" w:cs="Arial" w:hAnsi="Arial"/>
          <w:sz w:val="22"/>
        </w:rPr>
        <w:t>：对每个任务，执行 HTTP 调用。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更新结果</w:t>
      </w:r>
      <w:r>
        <w:rPr>
          <w:rFonts w:eastAsia="等线" w:ascii="Arial" w:cs="Arial" w:hAnsi="Arial"/>
          <w:sz w:val="22"/>
        </w:rPr>
        <w:t>：根据调用结果更新任务状态（</w:t>
      </w:r>
      <w:r>
        <w:rPr>
          <w:rFonts w:eastAsia="Consolas" w:ascii="Consolas" w:cs="Consolas" w:hAnsi="Consolas"/>
          <w:sz w:val="22"/>
          <w:shd w:fill="EFF0F1"/>
        </w:rPr>
        <w:t>succeeded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dead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4.2. 指数退避与抖动 (Exponential Backoff with Jitter)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为避免在外部服务故障时发起“风暴式”重试，必须采用退避策略。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指数退避</w:t>
      </w:r>
      <w:r>
        <w:rPr>
          <w:rFonts w:eastAsia="等线" w:ascii="Arial" w:cs="Arial" w:hAnsi="Arial"/>
          <w:sz w:val="22"/>
        </w:rPr>
        <w:t>：每次重试的间隔时间呈指数级增长。公式：</w:t>
      </w:r>
      <w:r>
        <w:rPr>
          <w:rFonts w:eastAsia="Consolas" w:ascii="Consolas" w:cs="Consolas" w:hAnsi="Consolas"/>
          <w:sz w:val="22"/>
          <w:shd w:fill="EFF0F1"/>
        </w:rPr>
        <w:t>interval = base_interval * (2 ^ (attempt_count - 1))</w:t>
      </w:r>
      <w:r>
        <w:rPr>
          <w:rFonts w:eastAsia="等线" w:ascii="Arial" w:cs="Arial" w:hAnsi="Arial"/>
          <w:sz w:val="22"/>
        </w:rPr>
        <w:t>。例如，基础间隔为 1s，则重试间隔依次为 1s, 2s, 4s, 8s...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随机抖动 (Jitter)</w:t>
      </w:r>
      <w:r>
        <w:rPr>
          <w:rFonts w:eastAsia="等线" w:ascii="Arial" w:cs="Arial" w:hAnsi="Arial"/>
          <w:sz w:val="22"/>
        </w:rPr>
        <w:t>：在计算出的间隔上增加一个随机值，避免所有重试任务在完全相同的时间点“同时唤醒”，从而削平流量尖峰。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Full Jitter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next_interval = random_between(0, interval)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Equal Jitter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next_interval = interval / 2 + random_between(0, interval / 2)</w:t>
      </w:r>
      <w:r>
        <w:rPr>
          <w:rFonts w:eastAsia="等线" w:ascii="Arial" w:cs="Arial" w:hAnsi="Arial"/>
          <w:sz w:val="22"/>
        </w:rPr>
        <w:t xml:space="preserve"> (更推荐)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4.3. 超时与并发控制</w:t>
      </w:r>
      <w:bookmarkEnd w:id="1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客户端超时</w:t>
      </w:r>
      <w:r>
        <w:rPr>
          <w:rFonts w:eastAsia="等线" w:ascii="Arial" w:cs="Arial" w:hAnsi="Arial"/>
          <w:sz w:val="22"/>
        </w:rPr>
        <w:t>：必须为出站的 HTTP 请求设置合理的</w:t>
      </w:r>
      <w:r>
        <w:rPr>
          <w:rFonts w:eastAsia="等线" w:ascii="Arial" w:cs="Arial" w:hAnsi="Arial"/>
          <w:b w:val="true"/>
          <w:sz w:val="22"/>
        </w:rPr>
        <w:t>连接超时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请求超时</w:t>
      </w:r>
      <w:r>
        <w:rPr>
          <w:rFonts w:eastAsia="等线" w:ascii="Arial" w:cs="Arial" w:hAnsi="Arial"/>
          <w:sz w:val="22"/>
        </w:rPr>
        <w:t>（如 5s），防止因外部服务响应缓慢而耗尽 Worker 资源。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并发控制</w:t>
      </w:r>
      <w:r>
        <w:rPr>
          <w:rFonts w:eastAsia="等线" w:ascii="Arial" w:cs="Arial" w:hAnsi="Arial"/>
          <w:sz w:val="22"/>
        </w:rPr>
        <w:t>：通过控制 Worker 的并发数（如协程池大小）来限制同一时刻向外部发出的总请求量。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 优先级与速率限制（可选）</w:t>
      </w:r>
      <w:bookmarkEnd w:id="1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</w:t>
      </w:r>
      <w:r>
        <w:rPr>
          <w:rFonts w:eastAsia="等线" w:ascii="Arial" w:cs="Arial" w:hAnsi="Arial"/>
          <w:sz w:val="22"/>
        </w:rPr>
        <w:t xml:space="preserve">：可在 </w:t>
      </w:r>
      <w:r>
        <w:rPr>
          <w:rFonts w:eastAsia="Consolas" w:ascii="Consolas" w:cs="Consolas" w:hAnsi="Consolas"/>
          <w:sz w:val="22"/>
          <w:shd w:fill="EFF0F1"/>
        </w:rPr>
        <w:t>notification_tasks</w:t>
      </w:r>
      <w:r>
        <w:rPr>
          <w:rFonts w:eastAsia="等线" w:ascii="Arial" w:cs="Arial" w:hAnsi="Arial"/>
          <w:sz w:val="22"/>
        </w:rPr>
        <w:t xml:space="preserve"> 表中增加 </w:t>
      </w:r>
      <w:r>
        <w:rPr>
          <w:rFonts w:eastAsia="Consolas" w:ascii="Consolas" w:cs="Consolas" w:hAnsi="Consolas"/>
          <w:sz w:val="22"/>
          <w:shd w:fill="EFF0F1"/>
        </w:rPr>
        <w:t>priority</w:t>
      </w:r>
      <w:r>
        <w:rPr>
          <w:rFonts w:eastAsia="等线" w:ascii="Arial" w:cs="Arial" w:hAnsi="Arial"/>
          <w:sz w:val="22"/>
        </w:rPr>
        <w:t xml:space="preserve"> 字段，高优先级的任务被优先轮询和执行。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速率限制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全局限速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Token Bucket</w:t>
      </w:r>
      <w:r>
        <w:rPr>
          <w:rFonts w:eastAsia="等线" w:ascii="Arial" w:cs="Arial" w:hAnsi="Arial"/>
          <w:sz w:val="22"/>
        </w:rPr>
        <w:t xml:space="preserve"> (令牌桶) 等算法，限制整个系统的总出站 QPS。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按合作方限速</w:t>
      </w:r>
      <w:r>
        <w:rPr>
          <w:rFonts w:eastAsia="等线" w:ascii="Arial" w:cs="Arial" w:hAnsi="Arial"/>
          <w:sz w:val="22"/>
        </w:rPr>
        <w:t xml:space="preserve">：为每个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 维护一个独立的令牌桶，实现更精细的流量控制，避免因某一合作方 API 的限制而影响其他通知。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对内标准 API 设计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5.1. </w:t>
      </w:r>
      <w:r>
        <w:rPr>
          <w:rFonts w:eastAsia="Consolas" w:ascii="Consolas" w:cs="Consolas" w:hAnsi="Consolas"/>
          <w:b w:val="true"/>
          <w:sz w:val="30"/>
          <w:shd w:fill="EFF0F1"/>
        </w:rPr>
        <w:t>POST /v1/notify</w:t>
      </w:r>
      <w:r>
        <w:rPr>
          <w:rFonts w:eastAsia="等线" w:ascii="Arial" w:cs="Arial" w:hAnsi="Arial"/>
          <w:b w:val="true"/>
          <w:sz w:val="30"/>
        </w:rPr>
        <w:t xml:space="preserve"> - 提交通知任务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用于创建并提交一个新的通知任务。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"partner_id": "some_crm_vendor",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"idempotency_key": "unique-order-id-12345",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"target_url": "https://api.partner.com/v1/webhooks/orders",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"method": "POST",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"headers":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"Content-Type": "application/json",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"X-Partner-Token": "secret-token-for-crm"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"body": "{\"order_id\": \"SO12345\", \"amount\": 99.99, \"status\": \"paid\"}",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"priority": 10,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"success_condition":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"status_codes": [200, 201, 204]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</w:p>
        </w:tc>
      </w:tr>
    </w:tbl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 (string, required): 合作方标识，用于路由、策略和限速。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idempotency_key</w:t>
      </w:r>
      <w:r>
        <w:rPr>
          <w:rFonts w:eastAsia="等线" w:ascii="Arial" w:cs="Arial" w:hAnsi="Arial"/>
          <w:sz w:val="22"/>
        </w:rPr>
        <w:t xml:space="preserve"> (string, required): 幂等键，在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 范围内唯一。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target_url</w:t>
      </w:r>
      <w:r>
        <w:rPr>
          <w:rFonts w:eastAsia="等线" w:ascii="Arial" w:cs="Arial" w:hAnsi="Arial"/>
          <w:sz w:val="22"/>
        </w:rPr>
        <w:t xml:space="preserve"> (string, required): 目标 URL。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method</w:t>
      </w:r>
      <w:r>
        <w:rPr>
          <w:rFonts w:eastAsia="等线" w:ascii="Arial" w:cs="Arial" w:hAnsi="Arial"/>
          <w:sz w:val="22"/>
        </w:rPr>
        <w:t xml:space="preserve"> (string, required): HTTP 方法，如 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headers</w:t>
      </w:r>
      <w:r>
        <w:rPr>
          <w:rFonts w:eastAsia="等线" w:ascii="Arial" w:cs="Arial" w:hAnsi="Arial"/>
          <w:sz w:val="22"/>
        </w:rPr>
        <w:t xml:space="preserve"> (object): HTTP 请求头。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(string): HTTP 请求体，应为字符串（如 JSON stringified）。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priority</w:t>
      </w:r>
      <w:r>
        <w:rPr>
          <w:rFonts w:eastAsia="等线" w:ascii="Arial" w:cs="Arial" w:hAnsi="Arial"/>
          <w:sz w:val="22"/>
        </w:rPr>
        <w:t xml:space="preserve"> (int, optional): 任务优先级，数值越大优先级越高。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success_condition</w:t>
      </w:r>
      <w:r>
        <w:rPr>
          <w:rFonts w:eastAsia="等线" w:ascii="Arial" w:cs="Arial" w:hAnsi="Arial"/>
          <w:sz w:val="22"/>
        </w:rPr>
        <w:t xml:space="preserve"> (object, optional): 自定义成功判定条件，覆盖默认策略。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 (Success):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"task_id": "ts_2a9y3x8z7v6q",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"status": "accepted"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5.2. </w:t>
      </w:r>
      <w:r>
        <w:rPr>
          <w:rFonts w:eastAsia="Consolas" w:ascii="Consolas" w:cs="Consolas" w:hAnsi="Consolas"/>
          <w:b w:val="true"/>
          <w:sz w:val="30"/>
          <w:shd w:fill="EFF0F1"/>
        </w:rPr>
        <w:t>GET /v1/notify/{id}</w:t>
      </w:r>
      <w:r>
        <w:rPr>
          <w:rFonts w:eastAsia="等线" w:ascii="Arial" w:cs="Arial" w:hAnsi="Arial"/>
          <w:b w:val="true"/>
          <w:sz w:val="30"/>
        </w:rPr>
        <w:t xml:space="preserve"> - 查询任务状态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查询指定任务的当前状态与最近的尝试记录。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"task_id": "ts_2a9y3x8z7v6q",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"status": "succeeded",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"created_at": "2023-10-27T10:00:00Z",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"last_attempt_at": "2023-10-27T10:00:05Z",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"attempt_count":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"attempts":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"attempt_number":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"status_code": 200,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"latency_ms": 150,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"created_at": "2023-10-27T10:00:05Z"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 xml:space="preserve">5.3. </w:t>
      </w:r>
      <w:r>
        <w:rPr>
          <w:rFonts w:eastAsia="Consolas" w:ascii="Consolas" w:cs="Consolas" w:hAnsi="Consolas"/>
          <w:b w:val="true"/>
          <w:sz w:val="30"/>
          <w:shd w:fill="EFF0F1"/>
        </w:rPr>
        <w:t>POST /v1/notify/{id}/cancel</w:t>
      </w:r>
      <w:r>
        <w:rPr>
          <w:rFonts w:eastAsia="等线" w:ascii="Arial" w:cs="Arial" w:hAnsi="Arial"/>
          <w:b w:val="true"/>
          <w:sz w:val="30"/>
        </w:rPr>
        <w:t xml:space="preserve"> - 取消任务 (可选)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允许业务方取消尚未执行或正在等待重试的任务。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 xml:space="preserve">：将 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 xml:space="preserve"> 的任务更新为 </w:t>
      </w:r>
      <w:r>
        <w:rPr>
          <w:rFonts w:eastAsia="Consolas" w:ascii="Consolas" w:cs="Consolas" w:hAnsi="Consolas"/>
          <w:sz w:val="22"/>
          <w:shd w:fill="EFF0F1"/>
        </w:rPr>
        <w:t>cancelled</w:t>
      </w:r>
      <w:r>
        <w:rPr>
          <w:rFonts w:eastAsia="等线" w:ascii="Arial" w:cs="Arial" w:hAnsi="Arial"/>
          <w:sz w:val="22"/>
        </w:rPr>
        <w:t xml:space="preserve"> (一个终态)。对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 xml:space="preserve"> 状态的任务，此操作可能失败或需要更复杂的处理，初期可不支持。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Go 参考实现示例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以下为核心逻辑的 Go 代码片段，突出设计思想，非完整实现。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6.1. 数据结构与 SQL 定义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NotificationTask 对应 notification_tasks 表</w:t>
              <w:br/>
            </w:r>
            <w:r>
              <w:rPr>
                <w:rFonts w:eastAsia="Consolas" w:ascii="Consolas" w:cs="Consolas" w:hAnsi="Consolas"/>
                <w:sz w:val="22"/>
              </w:rPr>
              <w:t>type NotificationTask struct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ID             int64     `db:"id"`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TaskID         string    `db:"task_id"`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PartnerID      string    `db:"partner_id"`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IdempotencyKey string    `db:"idempotency_key"`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Status         string    `db:"status"`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TargetURL      string    `db:"target_url"`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HTTPMethod     string    `db:"http_method"`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HTTPHeaders    string    `db:"http_headers"` // 序列化为 JSON 字符串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HTTPBody       []byte    `db:"http_body"`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AttemptCount   int       `db:"attempt_count"`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MaxAttempts    int       `db:"max_attempts"`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NextAttemptAt  time.Time `db:"next_attempt_at"`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LastAttemptAt  sql.NullTime `db:"last_attempt_at"`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// PostgreSQL 表定义</w:t>
              <w:br/>
            </w:r>
            <w:r>
              <w:rPr>
                <w:rFonts w:eastAsia="Consolas" w:ascii="Consolas" w:cs="Consolas" w:hAnsi="Consolas"/>
                <w:sz w:val="22"/>
              </w:rPr>
              <w:t>const createTaskTableSQL = `</w:t>
              <w:br/>
            </w:r>
            <w:r>
              <w:rPr>
                <w:rFonts w:eastAsia="Consolas" w:ascii="Consolas" w:cs="Consolas" w:hAnsi="Consolas"/>
                <w:sz w:val="22"/>
              </w:rPr>
              <w:t>CREATE TABLE notification_tasks 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id BIGSERIAL PRIMARY KEY,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task_id VARCHAR(64) NOT NULL UNIQUE,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partner_id VARCHAR(64) NOT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idempotency_key VARCHAR(128) NOT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status VARCHAR(16) NOT NULL DEFAULT 'pending',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target_url VARCHAR(2048) NOT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http_method VARCHAR(16) NOT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http_headers JSONB,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http_body BYTEA,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attempt_count INT NOT NULL DEFAULT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max_attempts INT NOT NULL DEFAULT 10,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next_attempt_at TIMESTAMPTZ NOT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last_attempt_at TIMESTAMPTZ,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created_at TIMESTAMPTZ NOT NULL DEFAULT NOW(),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updated_at TIMESTAMPTZ NOT NULL DEFAULT NOW(),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UNIQUE (partner_id, idempotency_key)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idx_tasks_status_next_attempt ON notification_tasks (status, next_attempt_at);</w:t>
              <w:br/>
            </w:r>
            <w:r>
              <w:rPr>
                <w:rFonts w:eastAsia="Consolas" w:ascii="Consolas" w:cs="Consolas" w:hAnsi="Consolas"/>
                <w:sz w:val="22"/>
              </w:rPr>
              <w:t>`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6.2. Worker 轮询与派发核心代码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(w *Worker) run()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ticker := time.NewTicker(w.pollInterval)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defer ticker.Stop()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range ticker.C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tasks, err := w.fetchAndLockTasks()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err != nil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// log error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continue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for _, task := range tasks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go w.processTask(task)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func (w *Worker) fetchAndLockTasks() ([]NotificationTask, error)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var tasks []NotificationTask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query := 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SELECT * FROM notification_tasks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WHERE status = 'pending' AND next_attempt_at &lt;= NOW()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ORDER BY next_attempt_at ASC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LIMIT $1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FOR UPDATE SKIP LOCKED`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tx, err := w.db.Begin()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err != nil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nil, err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defer tx.Rollback()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rows, err := tx.Query(query, w.batchSize)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... 扫描 rows 到 tasks ...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将任务状态更新为 running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...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tasks, tx.Commit()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func (w *Worker) processTask(task NotificationTask)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1. 构建 HTTP 请求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req, _ := http.NewRequest(task.HTTPMethod, task.TargetURL, bytes.NewReader(task.HTTPBody))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... 设置 headers ...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2. 发送请求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client := &amp;http.Client{Timeout: 10 * time.Second}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resp, err := client.Do(req)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3. 处理结果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err != nil || (resp.StatusCode &gt;= 500 &amp;&amp; resp.StatusCode != 429)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// 计算下一次重试时间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nextAttempt := w.calculateNextAttempt(task)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// 更新数据库，状态改回 pending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 else if resp.StatusCode &gt;= 200 &amp;&amp; resp.StatusCode &lt; 400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// 更新数据库，状态为 succeeded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// 更新数据库，状态为 failed/dead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4. 记录 attempt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6.3. 幂等键处理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POST /v1/notify</w:t>
      </w:r>
      <w:r>
        <w:rPr>
          <w:rFonts w:eastAsia="等线" w:ascii="Arial" w:cs="Arial" w:hAnsi="Arial"/>
          <w:sz w:val="22"/>
        </w:rPr>
        <w:t xml:space="preserve"> 接口中，核心逻辑如下：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从请求中获取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idempotency_key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查询数据库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SELECT task_id, status FROM notification_tasks WHERE partner_id = ? AND idempotency_key = ?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如果记录已存在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直接返回已存在的 </w:t>
      </w: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200 OK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202 Accepted</w:t>
      </w:r>
      <w:r>
        <w:rPr>
          <w:rFonts w:eastAsia="等线" w:ascii="Arial" w:cs="Arial" w:hAnsi="Arial"/>
          <w:sz w:val="22"/>
        </w:rPr>
        <w:t>，表示请求已被处理。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不要</w:t>
      </w:r>
      <w:r>
        <w:rPr>
          <w:rFonts w:eastAsia="等线" w:ascii="Arial" w:cs="Arial" w:hAnsi="Arial"/>
          <w:sz w:val="22"/>
        </w:rPr>
        <w:t>创建新任务。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如果记录不存在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这是新请求，继续执行创建任务的流程。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为避免并发冲突，应在数据库层面为 </w:t>
      </w:r>
      <w:r>
        <w:rPr>
          <w:rFonts w:eastAsia="Consolas" w:ascii="Consolas" w:cs="Consolas" w:hAnsi="Consolas"/>
          <w:sz w:val="22"/>
          <w:shd w:fill="EFF0F1"/>
        </w:rPr>
        <w:t>(partner_id, idempotency_key)</w:t>
      </w:r>
      <w:r>
        <w:rPr>
          <w:rFonts w:eastAsia="等线" w:ascii="Arial" w:cs="Arial" w:hAnsi="Arial"/>
          <w:sz w:val="22"/>
        </w:rPr>
        <w:t xml:space="preserve"> 添加唯一约束。如果插入时违反约束，说明在查询和插入之间有另一个相同请求进入，此时应重新查询并返回已有记录。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 安全、观测性与运维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7.1. 安全与合规 (Security)</w:t>
      </w:r>
      <w:bookmarkEnd w:id="2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目标域名白名单</w:t>
      </w:r>
      <w:r>
        <w:rPr>
          <w:rFonts w:eastAsia="等线" w:ascii="Arial" w:cs="Arial" w:hAnsi="Arial"/>
          <w:sz w:val="22"/>
        </w:rPr>
        <w:t>：已在“接入层”提及，是防止 SSRF 的首要防线。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敏感值加密</w:t>
      </w:r>
      <w:r>
        <w:rPr>
          <w:rFonts w:eastAsia="等线" w:ascii="Arial" w:cs="Arial" w:hAnsi="Arial"/>
          <w:sz w:val="22"/>
        </w:rPr>
        <w:t xml:space="preserve">：对于 </w:t>
      </w:r>
      <w:r>
        <w:rPr>
          <w:rFonts w:eastAsia="Consolas" w:ascii="Consolas" w:cs="Consolas" w:hAnsi="Consolas"/>
          <w:sz w:val="22"/>
          <w:shd w:fill="EFF0F1"/>
        </w:rPr>
        <w:t>headers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中可能包含的 </w:t>
      </w:r>
      <w:r>
        <w:rPr>
          <w:rFonts w:eastAsia="Consolas" w:ascii="Consolas" w:cs="Consolas" w:hAnsi="Consolas"/>
          <w:sz w:val="22"/>
          <w:shd w:fill="EFF0F1"/>
        </w:rPr>
        <w:t>Authorization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 xml:space="preserve"> 等敏感信息，应在存储前使用 KMS 或配置中心提供的加密服务进行</w:t>
      </w:r>
      <w:r>
        <w:rPr>
          <w:rFonts w:eastAsia="等线" w:ascii="Arial" w:cs="Arial" w:hAnsi="Arial"/>
          <w:b w:val="true"/>
          <w:sz w:val="22"/>
        </w:rPr>
        <w:t>字段级加密</w:t>
      </w:r>
      <w:r>
        <w:rPr>
          <w:rFonts w:eastAsia="等线" w:ascii="Arial" w:cs="Arial" w:hAnsi="Arial"/>
          <w:sz w:val="22"/>
        </w:rPr>
        <w:t>，并在派发时由 Worker 解密注入。绝不应明文存储。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出站代理</w:t>
      </w:r>
      <w:r>
        <w:rPr>
          <w:rFonts w:eastAsia="等线" w:ascii="Arial" w:cs="Arial" w:hAnsi="Arial"/>
          <w:sz w:val="22"/>
        </w:rPr>
        <w:t>：所有出站的网络请求应通过公司的标准出站代理进行，便于统一的网络策略管理和流量审计。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TLS 校验</w:t>
      </w:r>
      <w:r>
        <w:rPr>
          <w:rFonts w:eastAsia="等线" w:ascii="Arial" w:cs="Arial" w:hAnsi="Arial"/>
          <w:sz w:val="22"/>
        </w:rPr>
        <w:t>：默认</w:t>
      </w:r>
      <w:r>
        <w:rPr>
          <w:rFonts w:eastAsia="等线" w:ascii="Arial" w:cs="Arial" w:hAnsi="Arial"/>
          <w:b w:val="true"/>
          <w:sz w:val="22"/>
        </w:rPr>
        <w:t>必须校验</w:t>
      </w:r>
      <w:r>
        <w:rPr>
          <w:rFonts w:eastAsia="等线" w:ascii="Arial" w:cs="Arial" w:hAnsi="Arial"/>
          <w:sz w:val="22"/>
        </w:rPr>
        <w:t>外部 API 的 TLS 证书。仅在特殊情况下（如内部测试），才允许配置跳过。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7.2. 观测性 (Observability)</w:t>
      </w:r>
      <w:bookmarkEnd w:id="29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 (Logging)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接入层</w:t>
      </w:r>
      <w:r>
        <w:rPr>
          <w:rFonts w:eastAsia="等线" w:ascii="Arial" w:cs="Arial" w:hAnsi="Arial"/>
          <w:sz w:val="22"/>
        </w:rPr>
        <w:t xml:space="preserve">：记录每个请求的 </w:t>
      </w:r>
      <w:r>
        <w:rPr>
          <w:rFonts w:eastAsia="Consolas" w:ascii="Consolas" w:cs="Consolas" w:hAnsi="Consolas"/>
          <w:sz w:val="22"/>
          <w:shd w:fill="EFF0F1"/>
        </w:rPr>
        <w:t>trace_id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idempotency_key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Worker</w:t>
      </w:r>
      <w:r>
        <w:rPr>
          <w:rFonts w:eastAsia="等线" w:ascii="Arial" w:cs="Arial" w:hAnsi="Arial"/>
          <w:sz w:val="22"/>
        </w:rPr>
        <w:t xml:space="preserve">：记录每个任务执行的 </w:t>
      </w: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attempt_count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latency_ms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status_code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>。日志应为结构化格式（如 JSON），便于机器解析。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 (Metrics)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入站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notify_requests_total</w:t>
      </w:r>
      <w:r>
        <w:rPr>
          <w:rFonts w:eastAsia="等线" w:ascii="Arial" w:cs="Arial" w:hAnsi="Arial"/>
          <w:sz w:val="22"/>
        </w:rPr>
        <w:t xml:space="preserve"> (by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) - 任务接收总量。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派发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notify_attempts_total</w:t>
      </w:r>
      <w:r>
        <w:rPr>
          <w:rFonts w:eastAsia="等线" w:ascii="Arial" w:cs="Arial" w:hAnsi="Arial"/>
          <w:sz w:val="22"/>
        </w:rPr>
        <w:t xml:space="preserve"> (by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status_code</w:t>
      </w:r>
      <w:r>
        <w:rPr>
          <w:rFonts w:eastAsia="等线" w:ascii="Arial" w:cs="Arial" w:hAnsi="Arial"/>
          <w:sz w:val="22"/>
        </w:rPr>
        <w:t>) - 派发尝试次数。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成功率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succeeded_rate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succeeded_tasks / total_tasks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延迟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notify_attempt_latency_seconds</w:t>
      </w:r>
      <w:r>
        <w:rPr>
          <w:rFonts w:eastAsia="等线" w:ascii="Arial" w:cs="Arial" w:hAnsi="Arial"/>
          <w:sz w:val="22"/>
        </w:rPr>
        <w:t xml:space="preserve"> (Histogram) - 派发延迟分布。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死信率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dead_letter_rate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dead_tasks / total_tasks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 (Alerting)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死信队列增长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dead</w:t>
      </w:r>
      <w:r>
        <w:rPr>
          <w:rFonts w:eastAsia="等线" w:ascii="Arial" w:cs="Arial" w:hAnsi="Arial"/>
          <w:sz w:val="22"/>
        </w:rPr>
        <w:t xml:space="preserve"> 状态的任务数量持续增加，表明存在持久性问题。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派发成功率骤降</w:t>
      </w:r>
      <w:r>
        <w:rPr>
          <w:rFonts w:eastAsia="等线" w:ascii="Arial" w:cs="Arial" w:hAnsi="Arial"/>
          <w:sz w:val="22"/>
        </w:rPr>
        <w:t xml:space="preserve">：某个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 的成功率在短时间内大幅下降。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任务积压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 xml:space="preserve"> 状态的任务数量持续超过阈值，且 </w:t>
      </w:r>
      <w:r>
        <w:rPr>
          <w:rFonts w:eastAsia="Consolas" w:ascii="Consolas" w:cs="Consolas" w:hAnsi="Consolas"/>
          <w:sz w:val="22"/>
          <w:shd w:fill="EFF0F1"/>
        </w:rPr>
        <w:t>next_attempt_at</w:t>
      </w:r>
      <w:r>
        <w:rPr>
          <w:rFonts w:eastAsia="等线" w:ascii="Arial" w:cs="Arial" w:hAnsi="Arial"/>
          <w:sz w:val="22"/>
        </w:rPr>
        <w:t xml:space="preserve"> 远早于当前时间。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值班处置建议</w:t>
      </w:r>
      <w:r>
        <w:rPr>
          <w:rFonts w:eastAsia="等线" w:ascii="Arial" w:cs="Arial" w:hAnsi="Arial"/>
          <w:sz w:val="22"/>
        </w:rPr>
        <w:t>：检查对应合作方的 API 状态、网络连通性；根据日志排查请求/响应内容。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7.3. 运维与数据治理</w:t>
      </w:r>
      <w:bookmarkEnd w:id="30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数据留存周期 (TTL)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notification_tasks</w:t>
      </w:r>
      <w:r>
        <w:rPr>
          <w:rFonts w:eastAsia="等线" w:ascii="Arial" w:cs="Arial" w:hAnsi="Arial"/>
          <w:sz w:val="22"/>
        </w:rPr>
        <w:t xml:space="preserve"> 表中的终态任务（</w:t>
      </w:r>
      <w:r>
        <w:rPr>
          <w:rFonts w:eastAsia="Consolas" w:ascii="Consolas" w:cs="Consolas" w:hAnsi="Consolas"/>
          <w:sz w:val="22"/>
          <w:shd w:fill="EFF0F1"/>
        </w:rPr>
        <w:t>succeeded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dead</w:t>
      </w:r>
      <w:r>
        <w:rPr>
          <w:rFonts w:eastAsia="等线" w:ascii="Arial" w:cs="Arial" w:hAnsi="Arial"/>
          <w:sz w:val="22"/>
        </w:rPr>
        <w:t>）应设置 TTL（如 30 天）。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notification_attempts</w:t>
      </w:r>
      <w:r>
        <w:rPr>
          <w:rFonts w:eastAsia="等线" w:ascii="Arial" w:cs="Arial" w:hAnsi="Arial"/>
          <w:sz w:val="22"/>
        </w:rPr>
        <w:t xml:space="preserve"> 表的数据应设置更短的 TTL（如 7 天）。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归档与清理</w:t>
      </w:r>
      <w:r>
        <w:rPr>
          <w:rFonts w:eastAsia="等线" w:ascii="Arial" w:cs="Arial" w:hAnsi="Arial"/>
          <w:sz w:val="22"/>
        </w:rPr>
        <w:t>：定期运行归档任务，将过期的记录从主库移动到成本更低的历史库或直接删除。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容量估算与扩容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Worker</w:t>
      </w:r>
      <w:r>
        <w:rPr>
          <w:rFonts w:eastAsia="等线" w:ascii="Arial" w:cs="Arial" w:hAnsi="Arial"/>
          <w:sz w:val="22"/>
        </w:rPr>
        <w:t>：无状态，可</w:t>
      </w:r>
      <w:r>
        <w:rPr>
          <w:rFonts w:eastAsia="等线" w:ascii="Arial" w:cs="Arial" w:hAnsi="Arial"/>
          <w:b w:val="true"/>
          <w:sz w:val="22"/>
        </w:rPr>
        <w:t>水平扩容</w:t>
      </w:r>
      <w:r>
        <w:rPr>
          <w:rFonts w:eastAsia="等线" w:ascii="Arial" w:cs="Arial" w:hAnsi="Arial"/>
          <w:sz w:val="22"/>
        </w:rPr>
        <w:t>，增加实例数即可提高处理能力。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垂直扩容</w:t>
      </w:r>
      <w:r>
        <w:rPr>
          <w:rFonts w:eastAsia="等线" w:ascii="Arial" w:cs="Arial" w:hAnsi="Arial"/>
          <w:sz w:val="22"/>
        </w:rPr>
        <w:t>：升级 DB 实例规格。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分片</w:t>
      </w:r>
      <w:r>
        <w:rPr>
          <w:rFonts w:eastAsia="等线" w:ascii="Arial" w:cs="Arial" w:hAnsi="Arial"/>
          <w:sz w:val="22"/>
        </w:rPr>
        <w:t xml:space="preserve">：当单表数据量过大时，可按 </w:t>
      </w:r>
      <w:r>
        <w:rPr>
          <w:rFonts w:eastAsia="Consolas" w:ascii="Consolas" w:cs="Consolas" w:hAnsi="Consolas"/>
          <w:sz w:val="22"/>
          <w:shd w:fill="EFF0F1"/>
        </w:rPr>
        <w:t>partner_id</w:t>
      </w:r>
      <w:r>
        <w:rPr>
          <w:rFonts w:eastAsia="等线" w:ascii="Arial" w:cs="Arial" w:hAnsi="Arial"/>
          <w:sz w:val="22"/>
        </w:rPr>
        <w:t xml:space="preserve"> 或时间进行分片。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 部署与 SLO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8.1. 最小可用拓扑</w:t>
      </w:r>
      <w:bookmarkEnd w:id="32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个</w:t>
      </w:r>
      <w:r>
        <w:rPr>
          <w:rFonts w:eastAsia="等线" w:ascii="Arial" w:cs="Arial" w:hAnsi="Arial"/>
          <w:sz w:val="22"/>
        </w:rPr>
        <w:t xml:space="preserve"> API 接入层实例 (无状态，可多实例)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个</w:t>
      </w:r>
      <w:r>
        <w:rPr>
          <w:rFonts w:eastAsia="等线" w:ascii="Arial" w:cs="Arial" w:hAnsi="Arial"/>
          <w:sz w:val="22"/>
        </w:rPr>
        <w:t xml:space="preserve"> 后台 Worker 实例 (可多实例)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个</w:t>
      </w:r>
      <w:r>
        <w:rPr>
          <w:rFonts w:eastAsia="等线" w:ascii="Arial" w:cs="Arial" w:hAnsi="Arial"/>
          <w:sz w:val="22"/>
        </w:rPr>
        <w:t xml:space="preserve"> 关系型数据库实例 (如 RDS)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此架构已具备基本的高可用性。接入层和 Worker 均可水平扩展。数据库是单点，但云服务商的 RDS 通常提供主备切换能力。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8.2. 服务等级目标 (SLO)</w:t>
      </w:r>
      <w:bookmarkEnd w:id="33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任务受理成功率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99.99%</w:t>
      </w:r>
      <w:r>
        <w:rPr>
          <w:rFonts w:eastAsia="等线" w:ascii="Arial" w:cs="Arial" w:hAnsi="Arial"/>
          <w:sz w:val="22"/>
        </w:rPr>
        <w:t xml:space="preserve"> (API 层面)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99% 的通知在 1 小时内送达</w:t>
      </w:r>
      <w:r>
        <w:rPr>
          <w:rFonts w:eastAsia="等线" w:ascii="Arial" w:cs="Arial" w:hAnsi="Arial"/>
          <w:sz w:val="22"/>
        </w:rPr>
        <w:t>：此 SLO 衡量系统的最终送达能力，允许一定时间的重试。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95% 的通知在 5 分钟内首次尝试</w:t>
      </w:r>
      <w:r>
        <w:rPr>
          <w:rFonts w:eastAsia="等线" w:ascii="Arial" w:cs="Arial" w:hAnsi="Arial"/>
          <w:sz w:val="22"/>
        </w:rPr>
        <w:t>：衡量 Worker 的处理延迟。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9. 开放问题与可选增强</w:t>
      </w:r>
      <w:bookmarkEnd w:id="34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自定义成功判定逻辑</w:t>
      </w:r>
      <w:r>
        <w:rPr>
          <w:rFonts w:eastAsia="等线" w:ascii="Arial" w:cs="Arial" w:hAnsi="Arial"/>
          <w:sz w:val="22"/>
        </w:rPr>
        <w:t xml:space="preserve">：除了状态码，是否需要支持基于响应体内容（如 </w:t>
      </w:r>
      <w:r>
        <w:rPr>
          <w:rFonts w:eastAsia="Consolas" w:ascii="Consolas" w:cs="Consolas" w:hAnsi="Consolas"/>
          <w:sz w:val="22"/>
          <w:shd w:fill="EFF0F1"/>
        </w:rPr>
        <w:t>{"code": 0}</w:t>
      </w:r>
      <w:r>
        <w:rPr>
          <w:rFonts w:eastAsia="等线" w:ascii="Arial" w:cs="Arial" w:hAnsi="Arial"/>
          <w:sz w:val="22"/>
        </w:rPr>
        <w:t>）或响应头的成功判定？这会增加复杂性。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回调/Webhook 支持</w:t>
      </w:r>
      <w:r>
        <w:rPr>
          <w:rFonts w:eastAsia="等线" w:ascii="Arial" w:cs="Arial" w:hAnsi="Arial"/>
          <w:sz w:val="22"/>
        </w:rPr>
        <w:t>：当任务终态（成功/失败）时，是否需要反向通知业务系统？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高级认证支持</w:t>
      </w:r>
      <w:r>
        <w:rPr>
          <w:rFonts w:eastAsia="等线" w:ascii="Arial" w:cs="Arial" w:hAnsi="Arial"/>
          <w:sz w:val="22"/>
        </w:rPr>
        <w:t xml:space="preserve">：是否需要为特定合作方内置签名逻辑（如 HMAC-SHA256）、OAuth2 客户端凭证模式等？初期可由业务方在 </w:t>
      </w:r>
      <w:r>
        <w:rPr>
          <w:rFonts w:eastAsia="Consolas" w:ascii="Consolas" w:cs="Consolas" w:hAnsi="Consolas"/>
          <w:sz w:val="22"/>
          <w:shd w:fill="EFF0F1"/>
        </w:rPr>
        <w:t>headers</w:t>
      </w:r>
      <w:r>
        <w:rPr>
          <w:rFonts w:eastAsia="等线" w:ascii="Arial" w:cs="Arial" w:hAnsi="Arial"/>
          <w:sz w:val="22"/>
        </w:rPr>
        <w:t xml:space="preserve"> 中自行构造。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跨地域部署</w:t>
      </w:r>
      <w:r>
        <w:rPr>
          <w:rFonts w:eastAsia="等线" w:ascii="Arial" w:cs="Arial" w:hAnsi="Arial"/>
          <w:sz w:val="22"/>
        </w:rPr>
        <w:t>：为实现灾备，是否需要支持跨地域多活？这将对数据库同步提出更高要求。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这些问题可在系统成熟后，根据业务发展需求再行评估。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25202">
    <w:lvl>
      <w:numFmt w:val="bullet"/>
      <w:suff w:val="tab"/>
      <w:lvlText w:val="•"/>
      <w:rPr>
        <w:color w:val="3370ff"/>
      </w:rPr>
    </w:lvl>
  </w:abstractNum>
  <w:abstractNum w:abstractNumId="625203">
    <w:lvl>
      <w:numFmt w:val="bullet"/>
      <w:suff w:val="tab"/>
      <w:lvlText w:val="•"/>
      <w:rPr>
        <w:color w:val="3370ff"/>
      </w:rPr>
    </w:lvl>
  </w:abstractNum>
  <w:abstractNum w:abstractNumId="625204">
    <w:lvl>
      <w:numFmt w:val="bullet"/>
      <w:suff w:val="tab"/>
      <w:lvlText w:val="•"/>
      <w:rPr>
        <w:color w:val="3370ff"/>
      </w:rPr>
    </w:lvl>
  </w:abstractNum>
  <w:abstractNum w:abstractNumId="625205">
    <w:lvl>
      <w:numFmt w:val="bullet"/>
      <w:suff w:val="tab"/>
      <w:lvlText w:val="•"/>
      <w:rPr>
        <w:color w:val="3370ff"/>
      </w:rPr>
    </w:lvl>
  </w:abstractNum>
  <w:abstractNum w:abstractNumId="625206">
    <w:lvl>
      <w:numFmt w:val="bullet"/>
      <w:suff w:val="tab"/>
      <w:lvlText w:val="•"/>
      <w:rPr>
        <w:color w:val="3370ff"/>
      </w:rPr>
    </w:lvl>
  </w:abstractNum>
  <w:abstractNum w:abstractNumId="625207">
    <w:lvl>
      <w:numFmt w:val="bullet"/>
      <w:suff w:val="tab"/>
      <w:lvlText w:val="•"/>
      <w:rPr>
        <w:color w:val="3370ff"/>
      </w:rPr>
    </w:lvl>
  </w:abstractNum>
  <w:abstractNum w:abstractNumId="625208">
    <w:lvl>
      <w:numFmt w:val="bullet"/>
      <w:suff w:val="tab"/>
      <w:lvlText w:val="•"/>
      <w:rPr>
        <w:color w:val="3370ff"/>
      </w:rPr>
    </w:lvl>
  </w:abstractNum>
  <w:abstractNum w:abstractNumId="625209">
    <w:lvl>
      <w:numFmt w:val="bullet"/>
      <w:suff w:val="tab"/>
      <w:lvlText w:val="￮"/>
      <w:rPr>
        <w:color w:val="3370ff"/>
      </w:rPr>
    </w:lvl>
  </w:abstractNum>
  <w:abstractNum w:abstractNumId="625210">
    <w:lvl>
      <w:numFmt w:val="bullet"/>
      <w:suff w:val="tab"/>
      <w:lvlText w:val="•"/>
      <w:rPr>
        <w:color w:val="3370ff"/>
      </w:rPr>
    </w:lvl>
  </w:abstractNum>
  <w:abstractNum w:abstractNumId="625211">
    <w:lvl>
      <w:numFmt w:val="bullet"/>
      <w:suff w:val="tab"/>
      <w:lvlText w:val="￮"/>
      <w:rPr>
        <w:color w:val="3370ff"/>
      </w:rPr>
    </w:lvl>
  </w:abstractNum>
  <w:abstractNum w:abstractNumId="625212">
    <w:lvl>
      <w:numFmt w:val="bullet"/>
      <w:suff w:val="tab"/>
      <w:lvlText w:val="￮"/>
      <w:rPr>
        <w:color w:val="3370ff"/>
      </w:rPr>
    </w:lvl>
  </w:abstractNum>
  <w:abstractNum w:abstractNumId="625213">
    <w:lvl>
      <w:numFmt w:val="bullet"/>
      <w:suff w:val="tab"/>
      <w:lvlText w:val="￮"/>
      <w:rPr>
        <w:color w:val="3370ff"/>
      </w:rPr>
    </w:lvl>
  </w:abstractNum>
  <w:abstractNum w:abstractNumId="625214">
    <w:lvl>
      <w:numFmt w:val="bullet"/>
      <w:suff w:val="tab"/>
      <w:lvlText w:val="•"/>
      <w:rPr>
        <w:color w:val="3370ff"/>
      </w:rPr>
    </w:lvl>
  </w:abstractNum>
  <w:abstractNum w:abstractNumId="625215">
    <w:lvl>
      <w:numFmt w:val="bullet"/>
      <w:suff w:val="tab"/>
      <w:lvlText w:val="￮"/>
      <w:rPr>
        <w:color w:val="3370ff"/>
      </w:rPr>
    </w:lvl>
  </w:abstractNum>
  <w:abstractNum w:abstractNumId="625216">
    <w:lvl>
      <w:numFmt w:val="bullet"/>
      <w:suff w:val="tab"/>
      <w:lvlText w:val="•"/>
      <w:rPr>
        <w:color w:val="3370ff"/>
      </w:rPr>
    </w:lvl>
  </w:abstractNum>
  <w:abstractNum w:abstractNumId="625217">
    <w:lvl>
      <w:numFmt w:val="bullet"/>
      <w:suff w:val="tab"/>
      <w:lvlText w:val="￮"/>
      <w:rPr>
        <w:color w:val="3370ff"/>
      </w:rPr>
    </w:lvl>
  </w:abstractNum>
  <w:abstractNum w:abstractNumId="625218">
    <w:lvl>
      <w:start w:val="1"/>
      <w:numFmt w:val="decimal"/>
      <w:suff w:val="tab"/>
      <w:lvlText w:val="%1."/>
      <w:rPr>
        <w:color w:val="3370ff"/>
      </w:rPr>
    </w:lvl>
  </w:abstractNum>
  <w:abstractNum w:abstractNumId="625219">
    <w:lvl>
      <w:start w:val="2"/>
      <w:numFmt w:val="decimal"/>
      <w:suff w:val="tab"/>
      <w:lvlText w:val="%1."/>
      <w:rPr>
        <w:color w:val="3370ff"/>
      </w:rPr>
    </w:lvl>
  </w:abstractNum>
  <w:abstractNum w:abstractNumId="625220">
    <w:lvl>
      <w:start w:val="3"/>
      <w:numFmt w:val="decimal"/>
      <w:suff w:val="tab"/>
      <w:lvlText w:val="%1."/>
      <w:rPr>
        <w:color w:val="3370ff"/>
      </w:rPr>
    </w:lvl>
  </w:abstractNum>
  <w:abstractNum w:abstractNumId="625221">
    <w:lvl>
      <w:start w:val="4"/>
      <w:numFmt w:val="decimal"/>
      <w:suff w:val="tab"/>
      <w:lvlText w:val="%1."/>
      <w:rPr>
        <w:color w:val="3370ff"/>
      </w:rPr>
    </w:lvl>
  </w:abstractNum>
  <w:abstractNum w:abstractNumId="625222">
    <w:lvl>
      <w:start w:val="5"/>
      <w:numFmt w:val="decimal"/>
      <w:suff w:val="tab"/>
      <w:lvlText w:val="%1."/>
      <w:rPr>
        <w:color w:val="3370ff"/>
      </w:rPr>
    </w:lvl>
  </w:abstractNum>
  <w:abstractNum w:abstractNumId="625223">
    <w:lvl>
      <w:numFmt w:val="bullet"/>
      <w:suff w:val="tab"/>
      <w:lvlText w:val="￮"/>
      <w:rPr>
        <w:color w:val="3370ff"/>
      </w:rPr>
    </w:lvl>
  </w:abstractNum>
  <w:abstractNum w:abstractNumId="625224">
    <w:lvl>
      <w:numFmt w:val="bullet"/>
      <w:suff w:val="tab"/>
      <w:lvlText w:val="￮"/>
      <w:rPr>
        <w:color w:val="3370ff"/>
      </w:rPr>
    </w:lvl>
  </w:abstractNum>
  <w:abstractNum w:abstractNumId="625225">
    <w:lvl>
      <w:numFmt w:val="bullet"/>
      <w:suff w:val="tab"/>
      <w:lvlText w:val="￮"/>
      <w:rPr>
        <w:color w:val="3370ff"/>
      </w:rPr>
    </w:lvl>
  </w:abstractNum>
  <w:abstractNum w:abstractNumId="625226">
    <w:lvl>
      <w:start w:val="6"/>
      <w:numFmt w:val="decimal"/>
      <w:suff w:val="tab"/>
      <w:lvlText w:val="%1."/>
      <w:rPr>
        <w:color w:val="3370ff"/>
      </w:rPr>
    </w:lvl>
  </w:abstractNum>
  <w:abstractNum w:abstractNumId="625227">
    <w:lvl>
      <w:numFmt w:val="bullet"/>
      <w:suff w:val="tab"/>
      <w:lvlText w:val="•"/>
      <w:rPr>
        <w:color w:val="3370ff"/>
      </w:rPr>
    </w:lvl>
  </w:abstractNum>
  <w:abstractNum w:abstractNumId="625228">
    <w:lvl>
      <w:numFmt w:val="bullet"/>
      <w:suff w:val="tab"/>
      <w:lvlText w:val="￮"/>
      <w:rPr>
        <w:color w:val="3370ff"/>
      </w:rPr>
    </w:lvl>
  </w:abstractNum>
  <w:abstractNum w:abstractNumId="625229">
    <w:lvl>
      <w:numFmt w:val="bullet"/>
      <w:suff w:val="tab"/>
      <w:lvlText w:val="￮"/>
      <w:rPr>
        <w:color w:val="3370ff"/>
      </w:rPr>
    </w:lvl>
  </w:abstractNum>
  <w:abstractNum w:abstractNumId="625230">
    <w:lvl>
      <w:numFmt w:val="bullet"/>
      <w:suff w:val="tab"/>
      <w:lvlText w:val="￮"/>
      <w:rPr>
        <w:color w:val="3370ff"/>
      </w:rPr>
    </w:lvl>
  </w:abstractNum>
  <w:abstractNum w:abstractNumId="625231">
    <w:lvl>
      <w:numFmt w:val="bullet"/>
      <w:suff w:val="tab"/>
      <w:lvlText w:val="•"/>
      <w:rPr>
        <w:color w:val="3370ff"/>
      </w:rPr>
    </w:lvl>
  </w:abstractNum>
  <w:abstractNum w:abstractNumId="625232">
    <w:lvl>
      <w:numFmt w:val="bullet"/>
      <w:suff w:val="tab"/>
      <w:lvlText w:val="•"/>
      <w:rPr>
        <w:color w:val="3370ff"/>
      </w:rPr>
    </w:lvl>
  </w:abstractNum>
  <w:abstractNum w:abstractNumId="625233">
    <w:lvl>
      <w:numFmt w:val="bullet"/>
      <w:suff w:val="tab"/>
      <w:lvlText w:val="•"/>
      <w:rPr>
        <w:color w:val="3370ff"/>
      </w:rPr>
    </w:lvl>
  </w:abstractNum>
  <w:abstractNum w:abstractNumId="625234">
    <w:lvl>
      <w:numFmt w:val="bullet"/>
      <w:suff w:val="tab"/>
      <w:lvlText w:val="•"/>
      <w:rPr>
        <w:color w:val="3370ff"/>
      </w:rPr>
    </w:lvl>
  </w:abstractNum>
  <w:abstractNum w:abstractNumId="625235">
    <w:lvl>
      <w:numFmt w:val="bullet"/>
      <w:suff w:val="tab"/>
      <w:lvlText w:val="•"/>
      <w:rPr>
        <w:color w:val="3370ff"/>
      </w:rPr>
    </w:lvl>
  </w:abstractNum>
  <w:abstractNum w:abstractNumId="625236">
    <w:lvl>
      <w:numFmt w:val="bullet"/>
      <w:suff w:val="tab"/>
      <w:lvlText w:val="•"/>
      <w:rPr>
        <w:color w:val="3370ff"/>
      </w:rPr>
    </w:lvl>
  </w:abstractNum>
  <w:abstractNum w:abstractNumId="625237">
    <w:lvl>
      <w:numFmt w:val="bullet"/>
      <w:suff w:val="tab"/>
      <w:lvlText w:val="•"/>
      <w:rPr>
        <w:color w:val="3370ff"/>
      </w:rPr>
    </w:lvl>
  </w:abstractNum>
  <w:abstractNum w:abstractNumId="625238">
    <w:lvl>
      <w:numFmt w:val="bullet"/>
      <w:suff w:val="tab"/>
      <w:lvlText w:val="•"/>
      <w:rPr>
        <w:color w:val="3370ff"/>
      </w:rPr>
    </w:lvl>
  </w:abstractNum>
  <w:abstractNum w:abstractNumId="625239">
    <w:lvl>
      <w:numFmt w:val="bullet"/>
      <w:suff w:val="tab"/>
      <w:lvlText w:val="•"/>
      <w:rPr>
        <w:color w:val="3370ff"/>
      </w:rPr>
    </w:lvl>
  </w:abstractNum>
  <w:abstractNum w:abstractNumId="625240">
    <w:lvl>
      <w:numFmt w:val="bullet"/>
      <w:suff w:val="tab"/>
      <w:lvlText w:val="•"/>
      <w:rPr>
        <w:color w:val="3370ff"/>
      </w:rPr>
    </w:lvl>
  </w:abstractNum>
  <w:abstractNum w:abstractNumId="625241">
    <w:lvl>
      <w:start w:val="1"/>
      <w:numFmt w:val="decimal"/>
      <w:suff w:val="tab"/>
      <w:lvlText w:val="%1."/>
      <w:rPr>
        <w:color w:val="3370ff"/>
      </w:rPr>
    </w:lvl>
  </w:abstractNum>
  <w:abstractNum w:abstractNumId="625242">
    <w:lvl>
      <w:numFmt w:val="bullet"/>
      <w:suff w:val="tab"/>
      <w:lvlText w:val="￮"/>
      <w:rPr>
        <w:color w:val="3370ff"/>
      </w:rPr>
    </w:lvl>
  </w:abstractNum>
  <w:abstractNum w:abstractNumId="625243">
    <w:lvl>
      <w:numFmt w:val="bullet"/>
      <w:suff w:val="tab"/>
      <w:lvlText w:val="￮"/>
      <w:rPr>
        <w:color w:val="3370ff"/>
      </w:rPr>
    </w:lvl>
  </w:abstractNum>
  <w:abstractNum w:abstractNumId="625244">
    <w:lvl>
      <w:start w:val="2"/>
      <w:numFmt w:val="decimal"/>
      <w:suff w:val="tab"/>
      <w:lvlText w:val="%1."/>
      <w:rPr>
        <w:color w:val="3370ff"/>
      </w:rPr>
    </w:lvl>
  </w:abstractNum>
  <w:abstractNum w:abstractNumId="625245">
    <w:lvl>
      <w:start w:val="3"/>
      <w:numFmt w:val="decimal"/>
      <w:suff w:val="tab"/>
      <w:lvlText w:val="%1."/>
      <w:rPr>
        <w:color w:val="3370ff"/>
      </w:rPr>
    </w:lvl>
  </w:abstractNum>
  <w:abstractNum w:abstractNumId="625246">
    <w:lvl>
      <w:start w:val="4"/>
      <w:numFmt w:val="decimal"/>
      <w:suff w:val="tab"/>
      <w:lvlText w:val="%1."/>
      <w:rPr>
        <w:color w:val="3370ff"/>
      </w:rPr>
    </w:lvl>
  </w:abstractNum>
  <w:abstractNum w:abstractNumId="625247">
    <w:lvl>
      <w:numFmt w:val="bullet"/>
      <w:suff w:val="tab"/>
      <w:lvlText w:val="•"/>
      <w:rPr>
        <w:color w:val="3370ff"/>
      </w:rPr>
    </w:lvl>
  </w:abstractNum>
  <w:abstractNum w:abstractNumId="625248">
    <w:lvl>
      <w:numFmt w:val="bullet"/>
      <w:suff w:val="tab"/>
      <w:lvlText w:val="•"/>
      <w:rPr>
        <w:color w:val="3370ff"/>
      </w:rPr>
    </w:lvl>
  </w:abstractNum>
  <w:abstractNum w:abstractNumId="625249">
    <w:lvl>
      <w:numFmt w:val="bullet"/>
      <w:suff w:val="tab"/>
      <w:lvlText w:val="￮"/>
      <w:rPr>
        <w:color w:val="3370ff"/>
      </w:rPr>
    </w:lvl>
  </w:abstractNum>
  <w:abstractNum w:abstractNumId="625250">
    <w:lvl>
      <w:numFmt w:val="bullet"/>
      <w:suff w:val="tab"/>
      <w:lvlText w:val="￮"/>
      <w:rPr>
        <w:color w:val="3370ff"/>
      </w:rPr>
    </w:lvl>
  </w:abstractNum>
  <w:abstractNum w:abstractNumId="625251">
    <w:lvl>
      <w:numFmt w:val="bullet"/>
      <w:suff w:val="tab"/>
      <w:lvlText w:val="•"/>
      <w:rPr>
        <w:color w:val="3370ff"/>
      </w:rPr>
    </w:lvl>
  </w:abstractNum>
  <w:abstractNum w:abstractNumId="625252">
    <w:lvl>
      <w:numFmt w:val="bullet"/>
      <w:suff w:val="tab"/>
      <w:lvlText w:val="•"/>
      <w:rPr>
        <w:color w:val="3370ff"/>
      </w:rPr>
    </w:lvl>
  </w:abstractNum>
  <w:abstractNum w:abstractNumId="625253">
    <w:lvl>
      <w:numFmt w:val="bullet"/>
      <w:suff w:val="tab"/>
      <w:lvlText w:val="•"/>
      <w:rPr>
        <w:color w:val="3370ff"/>
      </w:rPr>
    </w:lvl>
  </w:abstractNum>
  <w:abstractNum w:abstractNumId="625254">
    <w:lvl>
      <w:numFmt w:val="bullet"/>
      <w:suff w:val="tab"/>
      <w:lvlText w:val="•"/>
      <w:rPr>
        <w:color w:val="3370ff"/>
      </w:rPr>
    </w:lvl>
  </w:abstractNum>
  <w:abstractNum w:abstractNumId="625255">
    <w:lvl>
      <w:numFmt w:val="bullet"/>
      <w:suff w:val="tab"/>
      <w:lvlText w:val="￮"/>
      <w:rPr>
        <w:color w:val="3370ff"/>
      </w:rPr>
    </w:lvl>
  </w:abstractNum>
  <w:abstractNum w:abstractNumId="625256">
    <w:lvl>
      <w:numFmt w:val="bullet"/>
      <w:suff w:val="tab"/>
      <w:lvlText w:val="￮"/>
      <w:rPr>
        <w:color w:val="3370ff"/>
      </w:rPr>
    </w:lvl>
  </w:abstractNum>
  <w:abstractNum w:abstractNumId="625257">
    <w:lvl>
      <w:numFmt w:val="bullet"/>
      <w:suff w:val="tab"/>
      <w:lvlText w:val="•"/>
      <w:rPr>
        <w:color w:val="3370ff"/>
      </w:rPr>
    </w:lvl>
  </w:abstractNum>
  <w:abstractNum w:abstractNumId="625258">
    <w:lvl>
      <w:numFmt w:val="bullet"/>
      <w:suff w:val="tab"/>
      <w:lvlText w:val="•"/>
      <w:rPr>
        <w:color w:val="3370ff"/>
      </w:rPr>
    </w:lvl>
  </w:abstractNum>
  <w:abstractNum w:abstractNumId="625259">
    <w:lvl>
      <w:numFmt w:val="bullet"/>
      <w:suff w:val="tab"/>
      <w:lvlText w:val="•"/>
      <w:rPr>
        <w:color w:val="3370ff"/>
      </w:rPr>
    </w:lvl>
  </w:abstractNum>
  <w:abstractNum w:abstractNumId="625260">
    <w:lvl>
      <w:numFmt w:val="bullet"/>
      <w:suff w:val="tab"/>
      <w:lvlText w:val="•"/>
      <w:rPr>
        <w:color w:val="3370ff"/>
      </w:rPr>
    </w:lvl>
  </w:abstractNum>
  <w:abstractNum w:abstractNumId="625261">
    <w:lvl>
      <w:numFmt w:val="bullet"/>
      <w:suff w:val="tab"/>
      <w:lvlText w:val="•"/>
      <w:rPr>
        <w:color w:val="3370ff"/>
      </w:rPr>
    </w:lvl>
  </w:abstractNum>
  <w:abstractNum w:abstractNumId="625262">
    <w:lvl>
      <w:numFmt w:val="bullet"/>
      <w:suff w:val="tab"/>
      <w:lvlText w:val="•"/>
      <w:rPr>
        <w:color w:val="3370ff"/>
      </w:rPr>
    </w:lvl>
  </w:abstractNum>
  <w:abstractNum w:abstractNumId="625263">
    <w:lvl>
      <w:numFmt w:val="bullet"/>
      <w:suff w:val="tab"/>
      <w:lvlText w:val="•"/>
      <w:rPr>
        <w:color w:val="3370ff"/>
      </w:rPr>
    </w:lvl>
  </w:abstractNum>
  <w:abstractNum w:abstractNumId="625264">
    <w:lvl>
      <w:numFmt w:val="bullet"/>
      <w:suff w:val="tab"/>
      <w:lvlText w:val="•"/>
      <w:rPr>
        <w:color w:val="3370ff"/>
      </w:rPr>
    </w:lvl>
  </w:abstractNum>
  <w:abstractNum w:abstractNumId="625265">
    <w:lvl>
      <w:numFmt w:val="bullet"/>
      <w:suff w:val="tab"/>
      <w:lvlText w:val="•"/>
      <w:rPr>
        <w:color w:val="3370ff"/>
      </w:rPr>
    </w:lvl>
  </w:abstractNum>
  <w:abstractNum w:abstractNumId="625266">
    <w:lvl>
      <w:start w:val="1"/>
      <w:numFmt w:val="decimal"/>
      <w:suff w:val="tab"/>
      <w:lvlText w:val="%1."/>
      <w:rPr>
        <w:color w:val="3370ff"/>
      </w:rPr>
    </w:lvl>
  </w:abstractNum>
  <w:abstractNum w:abstractNumId="625267">
    <w:lvl>
      <w:start w:val="2"/>
      <w:numFmt w:val="decimal"/>
      <w:suff w:val="tab"/>
      <w:lvlText w:val="%1."/>
      <w:rPr>
        <w:color w:val="3370ff"/>
      </w:rPr>
    </w:lvl>
  </w:abstractNum>
  <w:abstractNum w:abstractNumId="625268">
    <w:lvl>
      <w:start w:val="3"/>
      <w:numFmt w:val="decimal"/>
      <w:suff w:val="tab"/>
      <w:lvlText w:val="%1."/>
      <w:rPr>
        <w:color w:val="3370ff"/>
      </w:rPr>
    </w:lvl>
  </w:abstractNum>
  <w:abstractNum w:abstractNumId="625269">
    <w:lvl>
      <w:numFmt w:val="bullet"/>
      <w:suff w:val="tab"/>
      <w:lvlText w:val="￮"/>
      <w:rPr>
        <w:color w:val="3370ff"/>
      </w:rPr>
    </w:lvl>
  </w:abstractNum>
  <w:abstractNum w:abstractNumId="625270">
    <w:lvl>
      <w:numFmt w:val="bullet"/>
      <w:suff w:val="tab"/>
      <w:lvlText w:val="￮"/>
      <w:rPr>
        <w:color w:val="3370ff"/>
      </w:rPr>
    </w:lvl>
  </w:abstractNum>
  <w:abstractNum w:abstractNumId="625271">
    <w:lvl>
      <w:start w:val="4"/>
      <w:numFmt w:val="decimal"/>
      <w:suff w:val="tab"/>
      <w:lvlText w:val="%1."/>
      <w:rPr>
        <w:color w:val="3370ff"/>
      </w:rPr>
    </w:lvl>
  </w:abstractNum>
  <w:abstractNum w:abstractNumId="625272">
    <w:lvl>
      <w:numFmt w:val="bullet"/>
      <w:suff w:val="tab"/>
      <w:lvlText w:val="￮"/>
      <w:rPr>
        <w:color w:val="3370ff"/>
      </w:rPr>
    </w:lvl>
  </w:abstractNum>
  <w:abstractNum w:abstractNumId="625273">
    <w:lvl>
      <w:numFmt w:val="bullet"/>
      <w:suff w:val="tab"/>
      <w:lvlText w:val="￮"/>
      <w:rPr>
        <w:color w:val="3370ff"/>
      </w:rPr>
    </w:lvl>
  </w:abstractNum>
  <w:abstractNum w:abstractNumId="625274">
    <w:lvl>
      <w:numFmt w:val="bullet"/>
      <w:suff w:val="tab"/>
      <w:lvlText w:val="•"/>
      <w:rPr>
        <w:color w:val="3370ff"/>
      </w:rPr>
    </w:lvl>
  </w:abstractNum>
  <w:abstractNum w:abstractNumId="625275">
    <w:lvl>
      <w:numFmt w:val="bullet"/>
      <w:suff w:val="tab"/>
      <w:lvlText w:val="•"/>
      <w:rPr>
        <w:color w:val="3370ff"/>
      </w:rPr>
    </w:lvl>
  </w:abstractNum>
  <w:abstractNum w:abstractNumId="625276">
    <w:lvl>
      <w:numFmt w:val="bullet"/>
      <w:suff w:val="tab"/>
      <w:lvlText w:val="•"/>
      <w:rPr>
        <w:color w:val="3370ff"/>
      </w:rPr>
    </w:lvl>
  </w:abstractNum>
  <w:abstractNum w:abstractNumId="625277">
    <w:lvl>
      <w:numFmt w:val="bullet"/>
      <w:suff w:val="tab"/>
      <w:lvlText w:val="•"/>
      <w:rPr>
        <w:color w:val="3370ff"/>
      </w:rPr>
    </w:lvl>
  </w:abstractNum>
  <w:abstractNum w:abstractNumId="625278">
    <w:lvl>
      <w:numFmt w:val="bullet"/>
      <w:suff w:val="tab"/>
      <w:lvlText w:val="•"/>
      <w:rPr>
        <w:color w:val="3370ff"/>
      </w:rPr>
    </w:lvl>
  </w:abstractNum>
  <w:abstractNum w:abstractNumId="625279">
    <w:lvl>
      <w:numFmt w:val="bullet"/>
      <w:suff w:val="tab"/>
      <w:lvlText w:val="￮"/>
      <w:rPr>
        <w:color w:val="3370ff"/>
      </w:rPr>
    </w:lvl>
  </w:abstractNum>
  <w:abstractNum w:abstractNumId="625280">
    <w:lvl>
      <w:numFmt w:val="bullet"/>
      <w:suff w:val="tab"/>
      <w:lvlText w:val="￮"/>
      <w:rPr>
        <w:color w:val="3370ff"/>
      </w:rPr>
    </w:lvl>
  </w:abstractNum>
  <w:abstractNum w:abstractNumId="625281">
    <w:lvl>
      <w:numFmt w:val="bullet"/>
      <w:suff w:val="tab"/>
      <w:lvlText w:val="•"/>
      <w:rPr>
        <w:color w:val="3370ff"/>
      </w:rPr>
    </w:lvl>
  </w:abstractNum>
  <w:abstractNum w:abstractNumId="625282">
    <w:lvl>
      <w:numFmt w:val="bullet"/>
      <w:suff w:val="tab"/>
      <w:lvlText w:val="￮"/>
      <w:rPr>
        <w:color w:val="3370ff"/>
      </w:rPr>
    </w:lvl>
  </w:abstractNum>
  <w:abstractNum w:abstractNumId="625283">
    <w:lvl>
      <w:numFmt w:val="bullet"/>
      <w:suff w:val="tab"/>
      <w:lvlText w:val="￮"/>
      <w:rPr>
        <w:color w:val="3370ff"/>
      </w:rPr>
    </w:lvl>
  </w:abstractNum>
  <w:abstractNum w:abstractNumId="625284">
    <w:lvl>
      <w:numFmt w:val="bullet"/>
      <w:suff w:val="tab"/>
      <w:lvlText w:val="￮"/>
      <w:rPr>
        <w:color w:val="3370ff"/>
      </w:rPr>
    </w:lvl>
  </w:abstractNum>
  <w:abstractNum w:abstractNumId="625285">
    <w:lvl>
      <w:numFmt w:val="bullet"/>
      <w:suff w:val="tab"/>
      <w:lvlText w:val="￮"/>
      <w:rPr>
        <w:color w:val="3370ff"/>
      </w:rPr>
    </w:lvl>
  </w:abstractNum>
  <w:abstractNum w:abstractNumId="625286">
    <w:lvl>
      <w:numFmt w:val="bullet"/>
      <w:suff w:val="tab"/>
      <w:lvlText w:val="￮"/>
      <w:rPr>
        <w:color w:val="3370ff"/>
      </w:rPr>
    </w:lvl>
  </w:abstractNum>
  <w:abstractNum w:abstractNumId="625287">
    <w:lvl>
      <w:numFmt w:val="bullet"/>
      <w:suff w:val="tab"/>
      <w:lvlText w:val="•"/>
      <w:rPr>
        <w:color w:val="3370ff"/>
      </w:rPr>
    </w:lvl>
  </w:abstractNum>
  <w:abstractNum w:abstractNumId="625288">
    <w:lvl>
      <w:numFmt w:val="bullet"/>
      <w:suff w:val="tab"/>
      <w:lvlText w:val="￮"/>
      <w:rPr>
        <w:color w:val="3370ff"/>
      </w:rPr>
    </w:lvl>
  </w:abstractNum>
  <w:abstractNum w:abstractNumId="625289">
    <w:lvl>
      <w:numFmt w:val="bullet"/>
      <w:suff w:val="tab"/>
      <w:lvlText w:val="￮"/>
      <w:rPr>
        <w:color w:val="3370ff"/>
      </w:rPr>
    </w:lvl>
  </w:abstractNum>
  <w:abstractNum w:abstractNumId="625290">
    <w:lvl>
      <w:numFmt w:val="bullet"/>
      <w:suff w:val="tab"/>
      <w:lvlText w:val="￮"/>
      <w:rPr>
        <w:color w:val="3370ff"/>
      </w:rPr>
    </w:lvl>
  </w:abstractNum>
  <w:abstractNum w:abstractNumId="625291">
    <w:lvl>
      <w:numFmt w:val="bullet"/>
      <w:suff w:val="tab"/>
      <w:lvlText w:val="￮"/>
      <w:rPr>
        <w:color w:val="3370ff"/>
      </w:rPr>
    </w:lvl>
  </w:abstractNum>
  <w:abstractNum w:abstractNumId="625292">
    <w:lvl>
      <w:numFmt w:val="bullet"/>
      <w:suff w:val="tab"/>
      <w:lvlText w:val="•"/>
      <w:rPr>
        <w:color w:val="3370ff"/>
      </w:rPr>
    </w:lvl>
  </w:abstractNum>
  <w:abstractNum w:abstractNumId="625293">
    <w:lvl>
      <w:numFmt w:val="bullet"/>
      <w:suff w:val="tab"/>
      <w:lvlText w:val="￮"/>
      <w:rPr>
        <w:color w:val="3370ff"/>
      </w:rPr>
    </w:lvl>
  </w:abstractNum>
  <w:abstractNum w:abstractNumId="625294">
    <w:lvl>
      <w:numFmt w:val="bullet"/>
      <w:suff w:val="tab"/>
      <w:lvlText w:val="￮"/>
      <w:rPr>
        <w:color w:val="3370ff"/>
      </w:rPr>
    </w:lvl>
  </w:abstractNum>
  <w:abstractNum w:abstractNumId="625295">
    <w:lvl>
      <w:numFmt w:val="bullet"/>
      <w:suff w:val="tab"/>
      <w:lvlText w:val="•"/>
      <w:rPr>
        <w:color w:val="3370ff"/>
      </w:rPr>
    </w:lvl>
  </w:abstractNum>
  <w:abstractNum w:abstractNumId="625296">
    <w:lvl>
      <w:numFmt w:val="bullet"/>
      <w:suff w:val="tab"/>
      <w:lvlText w:val="•"/>
      <w:rPr>
        <w:color w:val="3370ff"/>
      </w:rPr>
    </w:lvl>
  </w:abstractNum>
  <w:abstractNum w:abstractNumId="625297">
    <w:lvl>
      <w:numFmt w:val="bullet"/>
      <w:suff w:val="tab"/>
      <w:lvlText w:val="￮"/>
      <w:rPr>
        <w:color w:val="3370ff"/>
      </w:rPr>
    </w:lvl>
  </w:abstractNum>
  <w:abstractNum w:abstractNumId="625298">
    <w:lvl>
      <w:numFmt w:val="bullet"/>
      <w:suff w:val="tab"/>
      <w:lvlText w:val="￮"/>
      <w:rPr>
        <w:color w:val="3370ff"/>
      </w:rPr>
    </w:lvl>
  </w:abstractNum>
  <w:abstractNum w:abstractNumId="625299">
    <w:lvl>
      <w:numFmt w:val="bullet"/>
      <w:suff w:val="tab"/>
      <w:lvlText w:val="▪"/>
      <w:rPr>
        <w:color w:val="3370ff"/>
        <w:sz w:val="11"/>
      </w:rPr>
    </w:lvl>
  </w:abstractNum>
  <w:abstractNum w:abstractNumId="625300">
    <w:lvl>
      <w:numFmt w:val="bullet"/>
      <w:suff w:val="tab"/>
      <w:lvlText w:val="▪"/>
      <w:rPr>
        <w:color w:val="3370ff"/>
        <w:sz w:val="11"/>
      </w:rPr>
    </w:lvl>
  </w:abstractNum>
  <w:abstractNum w:abstractNumId="625301">
    <w:lvl>
      <w:numFmt w:val="bullet"/>
      <w:suff w:val="tab"/>
      <w:lvlText w:val="•"/>
      <w:rPr>
        <w:color w:val="3370ff"/>
      </w:rPr>
    </w:lvl>
  </w:abstractNum>
  <w:abstractNum w:abstractNumId="625302">
    <w:lvl>
      <w:numFmt w:val="bullet"/>
      <w:suff w:val="tab"/>
      <w:lvlText w:val="•"/>
      <w:rPr>
        <w:color w:val="3370ff"/>
      </w:rPr>
    </w:lvl>
  </w:abstractNum>
  <w:abstractNum w:abstractNumId="625303">
    <w:lvl>
      <w:numFmt w:val="bullet"/>
      <w:suff w:val="tab"/>
      <w:lvlText w:val="•"/>
      <w:rPr>
        <w:color w:val="3370ff"/>
      </w:rPr>
    </w:lvl>
  </w:abstractNum>
  <w:abstractNum w:abstractNumId="625304">
    <w:lvl>
      <w:numFmt w:val="bullet"/>
      <w:suff w:val="tab"/>
      <w:lvlText w:val="•"/>
      <w:rPr>
        <w:color w:val="3370ff"/>
      </w:rPr>
    </w:lvl>
  </w:abstractNum>
  <w:abstractNum w:abstractNumId="625305">
    <w:lvl>
      <w:numFmt w:val="bullet"/>
      <w:suff w:val="tab"/>
      <w:lvlText w:val="•"/>
      <w:rPr>
        <w:color w:val="3370ff"/>
      </w:rPr>
    </w:lvl>
  </w:abstractNum>
  <w:abstractNum w:abstractNumId="625306">
    <w:lvl>
      <w:numFmt w:val="bullet"/>
      <w:suff w:val="tab"/>
      <w:lvlText w:val="•"/>
      <w:rPr>
        <w:color w:val="3370ff"/>
      </w:rPr>
    </w:lvl>
  </w:abstractNum>
  <w:abstractNum w:abstractNumId="625307">
    <w:lvl>
      <w:numFmt w:val="bullet"/>
      <w:suff w:val="tab"/>
      <w:lvlText w:val="•"/>
      <w:rPr>
        <w:color w:val="3370ff"/>
      </w:rPr>
    </w:lvl>
  </w:abstractNum>
  <w:abstractNum w:abstractNumId="625308">
    <w:lvl>
      <w:numFmt w:val="bullet"/>
      <w:suff w:val="tab"/>
      <w:lvlText w:val="•"/>
      <w:rPr>
        <w:color w:val="3370ff"/>
      </w:rPr>
    </w:lvl>
  </w:abstractNum>
  <w:abstractNum w:abstractNumId="625309">
    <w:lvl>
      <w:numFmt w:val="bullet"/>
      <w:suff w:val="tab"/>
      <w:lvlText w:val="•"/>
      <w:rPr>
        <w:color w:val="3370ff"/>
      </w:rPr>
    </w:lvl>
  </w:abstractNum>
  <w:abstractNum w:abstractNumId="625310">
    <w:lvl>
      <w:numFmt w:val="bullet"/>
      <w:suff w:val="tab"/>
      <w:lvlText w:val="•"/>
      <w:rPr>
        <w:color w:val="3370ff"/>
      </w:rPr>
    </w:lvl>
  </w:abstractNum>
  <w:num w:numId="1">
    <w:abstractNumId w:val="625202"/>
  </w:num>
  <w:num w:numId="2">
    <w:abstractNumId w:val="625203"/>
  </w:num>
  <w:num w:numId="3">
    <w:abstractNumId w:val="625204"/>
  </w:num>
  <w:num w:numId="4">
    <w:abstractNumId w:val="625205"/>
  </w:num>
  <w:num w:numId="5">
    <w:abstractNumId w:val="625206"/>
  </w:num>
  <w:num w:numId="6">
    <w:abstractNumId w:val="625207"/>
  </w:num>
  <w:num w:numId="7">
    <w:abstractNumId w:val="625208"/>
  </w:num>
  <w:num w:numId="8">
    <w:abstractNumId w:val="625209"/>
  </w:num>
  <w:num w:numId="9">
    <w:abstractNumId w:val="625210"/>
  </w:num>
  <w:num w:numId="10">
    <w:abstractNumId w:val="625211"/>
  </w:num>
  <w:num w:numId="11">
    <w:abstractNumId w:val="625212"/>
  </w:num>
  <w:num w:numId="12">
    <w:abstractNumId w:val="625213"/>
  </w:num>
  <w:num w:numId="13">
    <w:abstractNumId w:val="625214"/>
  </w:num>
  <w:num w:numId="14">
    <w:abstractNumId w:val="625215"/>
  </w:num>
  <w:num w:numId="15">
    <w:abstractNumId w:val="625216"/>
  </w:num>
  <w:num w:numId="16">
    <w:abstractNumId w:val="625217"/>
  </w:num>
  <w:num w:numId="17">
    <w:abstractNumId w:val="625218"/>
  </w:num>
  <w:num w:numId="18">
    <w:abstractNumId w:val="625219"/>
  </w:num>
  <w:num w:numId="19">
    <w:abstractNumId w:val="625220"/>
  </w:num>
  <w:num w:numId="20">
    <w:abstractNumId w:val="625221"/>
  </w:num>
  <w:num w:numId="21">
    <w:abstractNumId w:val="625222"/>
  </w:num>
  <w:num w:numId="22">
    <w:abstractNumId w:val="625223"/>
  </w:num>
  <w:num w:numId="23">
    <w:abstractNumId w:val="625224"/>
  </w:num>
  <w:num w:numId="24">
    <w:abstractNumId w:val="625225"/>
  </w:num>
  <w:num w:numId="25">
    <w:abstractNumId w:val="625226"/>
  </w:num>
  <w:num w:numId="26">
    <w:abstractNumId w:val="625227"/>
  </w:num>
  <w:num w:numId="27">
    <w:abstractNumId w:val="625228"/>
  </w:num>
  <w:num w:numId="28">
    <w:abstractNumId w:val="625229"/>
  </w:num>
  <w:num w:numId="29">
    <w:abstractNumId w:val="625230"/>
  </w:num>
  <w:num w:numId="30">
    <w:abstractNumId w:val="625231"/>
  </w:num>
  <w:num w:numId="31">
    <w:abstractNumId w:val="625232"/>
  </w:num>
  <w:num w:numId="32">
    <w:abstractNumId w:val="625233"/>
  </w:num>
  <w:num w:numId="33">
    <w:abstractNumId w:val="625234"/>
  </w:num>
  <w:num w:numId="34">
    <w:abstractNumId w:val="625235"/>
  </w:num>
  <w:num w:numId="35">
    <w:abstractNumId w:val="625236"/>
  </w:num>
  <w:num w:numId="36">
    <w:abstractNumId w:val="625237"/>
  </w:num>
  <w:num w:numId="37">
    <w:abstractNumId w:val="625238"/>
  </w:num>
  <w:num w:numId="38">
    <w:abstractNumId w:val="625239"/>
  </w:num>
  <w:num w:numId="39">
    <w:abstractNumId w:val="625240"/>
  </w:num>
  <w:num w:numId="40">
    <w:abstractNumId w:val="625241"/>
  </w:num>
  <w:num w:numId="41">
    <w:abstractNumId w:val="625242"/>
  </w:num>
  <w:num w:numId="42">
    <w:abstractNumId w:val="625243"/>
  </w:num>
  <w:num w:numId="43">
    <w:abstractNumId w:val="625244"/>
  </w:num>
  <w:num w:numId="44">
    <w:abstractNumId w:val="625245"/>
  </w:num>
  <w:num w:numId="45">
    <w:abstractNumId w:val="625246"/>
  </w:num>
  <w:num w:numId="46">
    <w:abstractNumId w:val="625247"/>
  </w:num>
  <w:num w:numId="47">
    <w:abstractNumId w:val="625248"/>
  </w:num>
  <w:num w:numId="48">
    <w:abstractNumId w:val="625249"/>
  </w:num>
  <w:num w:numId="49">
    <w:abstractNumId w:val="625250"/>
  </w:num>
  <w:num w:numId="50">
    <w:abstractNumId w:val="625251"/>
  </w:num>
  <w:num w:numId="51">
    <w:abstractNumId w:val="625252"/>
  </w:num>
  <w:num w:numId="52">
    <w:abstractNumId w:val="625253"/>
  </w:num>
  <w:num w:numId="53">
    <w:abstractNumId w:val="625254"/>
  </w:num>
  <w:num w:numId="54">
    <w:abstractNumId w:val="625255"/>
  </w:num>
  <w:num w:numId="55">
    <w:abstractNumId w:val="625256"/>
  </w:num>
  <w:num w:numId="56">
    <w:abstractNumId w:val="625257"/>
  </w:num>
  <w:num w:numId="57">
    <w:abstractNumId w:val="625258"/>
  </w:num>
  <w:num w:numId="58">
    <w:abstractNumId w:val="625259"/>
  </w:num>
  <w:num w:numId="59">
    <w:abstractNumId w:val="625260"/>
  </w:num>
  <w:num w:numId="60">
    <w:abstractNumId w:val="625261"/>
  </w:num>
  <w:num w:numId="61">
    <w:abstractNumId w:val="625262"/>
  </w:num>
  <w:num w:numId="62">
    <w:abstractNumId w:val="625263"/>
  </w:num>
  <w:num w:numId="63">
    <w:abstractNumId w:val="625264"/>
  </w:num>
  <w:num w:numId="64">
    <w:abstractNumId w:val="625265"/>
  </w:num>
  <w:num w:numId="65">
    <w:abstractNumId w:val="625266"/>
  </w:num>
  <w:num w:numId="66">
    <w:abstractNumId w:val="625267"/>
  </w:num>
  <w:num w:numId="67">
    <w:abstractNumId w:val="625268"/>
  </w:num>
  <w:num w:numId="68">
    <w:abstractNumId w:val="625269"/>
  </w:num>
  <w:num w:numId="69">
    <w:abstractNumId w:val="625270"/>
  </w:num>
  <w:num w:numId="70">
    <w:abstractNumId w:val="625271"/>
  </w:num>
  <w:num w:numId="71">
    <w:abstractNumId w:val="625272"/>
  </w:num>
  <w:num w:numId="72">
    <w:abstractNumId w:val="625273"/>
  </w:num>
  <w:num w:numId="73">
    <w:abstractNumId w:val="625274"/>
  </w:num>
  <w:num w:numId="74">
    <w:abstractNumId w:val="625275"/>
  </w:num>
  <w:num w:numId="75">
    <w:abstractNumId w:val="625276"/>
  </w:num>
  <w:num w:numId="76">
    <w:abstractNumId w:val="625277"/>
  </w:num>
  <w:num w:numId="77">
    <w:abstractNumId w:val="625278"/>
  </w:num>
  <w:num w:numId="78">
    <w:abstractNumId w:val="625279"/>
  </w:num>
  <w:num w:numId="79">
    <w:abstractNumId w:val="625280"/>
  </w:num>
  <w:num w:numId="80">
    <w:abstractNumId w:val="625281"/>
  </w:num>
  <w:num w:numId="81">
    <w:abstractNumId w:val="625282"/>
  </w:num>
  <w:num w:numId="82">
    <w:abstractNumId w:val="625283"/>
  </w:num>
  <w:num w:numId="83">
    <w:abstractNumId w:val="625284"/>
  </w:num>
  <w:num w:numId="84">
    <w:abstractNumId w:val="625285"/>
  </w:num>
  <w:num w:numId="85">
    <w:abstractNumId w:val="625286"/>
  </w:num>
  <w:num w:numId="86">
    <w:abstractNumId w:val="625287"/>
  </w:num>
  <w:num w:numId="87">
    <w:abstractNumId w:val="625288"/>
  </w:num>
  <w:num w:numId="88">
    <w:abstractNumId w:val="625289"/>
  </w:num>
  <w:num w:numId="89">
    <w:abstractNumId w:val="625290"/>
  </w:num>
  <w:num w:numId="90">
    <w:abstractNumId w:val="625291"/>
  </w:num>
  <w:num w:numId="91">
    <w:abstractNumId w:val="625292"/>
  </w:num>
  <w:num w:numId="92">
    <w:abstractNumId w:val="625293"/>
  </w:num>
  <w:num w:numId="93">
    <w:abstractNumId w:val="625294"/>
  </w:num>
  <w:num w:numId="94">
    <w:abstractNumId w:val="625295"/>
  </w:num>
  <w:num w:numId="95">
    <w:abstractNumId w:val="625296"/>
  </w:num>
  <w:num w:numId="96">
    <w:abstractNumId w:val="625297"/>
  </w:num>
  <w:num w:numId="97">
    <w:abstractNumId w:val="625298"/>
  </w:num>
  <w:num w:numId="98">
    <w:abstractNumId w:val="625299"/>
  </w:num>
  <w:num w:numId="99">
    <w:abstractNumId w:val="625300"/>
  </w:num>
  <w:num w:numId="100">
    <w:abstractNumId w:val="625301"/>
  </w:num>
  <w:num w:numId="101">
    <w:abstractNumId w:val="625302"/>
  </w:num>
  <w:num w:numId="102">
    <w:abstractNumId w:val="625303"/>
  </w:num>
  <w:num w:numId="103">
    <w:abstractNumId w:val="625304"/>
  </w:num>
  <w:num w:numId="104">
    <w:abstractNumId w:val="625305"/>
  </w:num>
  <w:num w:numId="105">
    <w:abstractNumId w:val="625306"/>
  </w:num>
  <w:num w:numId="106">
    <w:abstractNumId w:val="625307"/>
  </w:num>
  <w:num w:numId="107">
    <w:abstractNumId w:val="625308"/>
  </w:num>
  <w:num w:numId="108">
    <w:abstractNumId w:val="625309"/>
  </w:num>
  <w:num w:numId="109">
    <w:abstractNumId w:val="6253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2025-12-30T10:41:52Z</dcterms:created>
  <dc:creator>Apache POI</dc:creator>
</cp:coreProperties>
</file>