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DFF" w:rsidRDefault="00397616">
      <w:pPr>
        <w:spacing w:after="120" w:line="240" w:lineRule="auto"/>
        <w:rPr>
          <w:rFonts w:ascii="Times New Roman" w:hAnsi="Times New Roman" w:cs="Times New Roman"/>
        </w:rPr>
      </w:pPr>
      <w:r>
        <w:rPr>
          <w:rFonts w:ascii="Times New Roman" w:hAnsi="Times New Roman" w:cs="Times New Roman"/>
        </w:rPr>
        <w:t>PBIO 504</w:t>
      </w:r>
    </w:p>
    <w:p w:rsidR="00125DFF" w:rsidRDefault="00397616">
      <w:pPr>
        <w:spacing w:after="120" w:line="240" w:lineRule="auto"/>
        <w:jc w:val="center"/>
        <w:rPr>
          <w:rFonts w:ascii="Times New Roman" w:hAnsi="Times New Roman" w:cs="Times New Roman"/>
          <w:b/>
          <w:bCs/>
          <w:u w:val="single"/>
        </w:rPr>
      </w:pPr>
      <w:r>
        <w:rPr>
          <w:rFonts w:ascii="Times New Roman" w:hAnsi="Times New Roman" w:cs="Times New Roman"/>
          <w:b/>
          <w:bCs/>
          <w:u w:val="single"/>
        </w:rPr>
        <w:t>Meta-</w:t>
      </w:r>
      <w:r w:rsidR="00125DFF">
        <w:rPr>
          <w:rFonts w:ascii="Times New Roman" w:hAnsi="Times New Roman" w:cs="Times New Roman"/>
          <w:b/>
          <w:bCs/>
          <w:u w:val="single"/>
        </w:rPr>
        <w:t>Analysis Homework</w:t>
      </w:r>
    </w:p>
    <w:p w:rsidR="001858AF" w:rsidRDefault="001858AF">
      <w:pPr>
        <w:spacing w:after="120" w:line="240" w:lineRule="auto"/>
        <w:jc w:val="center"/>
        <w:rPr>
          <w:rFonts w:ascii="Times New Roman" w:hAnsi="Times New Roman" w:cs="Times New Roman"/>
          <w:b/>
          <w:bCs/>
          <w:u w:val="single"/>
        </w:rPr>
      </w:pPr>
    </w:p>
    <w:p w:rsidR="001858AF" w:rsidRDefault="001858AF">
      <w:pPr>
        <w:spacing w:after="120" w:line="240" w:lineRule="auto"/>
        <w:jc w:val="center"/>
        <w:rPr>
          <w:rFonts w:ascii="Times New Roman" w:hAnsi="Times New Roman" w:cs="Times New Roman"/>
          <w:b/>
          <w:bCs/>
          <w:u w:val="single"/>
        </w:rPr>
      </w:pPr>
    </w:p>
    <w:p w:rsidR="00125DFF" w:rsidRDefault="00125DFF">
      <w:pPr>
        <w:spacing w:after="120" w:line="240" w:lineRule="auto"/>
        <w:rPr>
          <w:rFonts w:ascii="Times New Roman" w:hAnsi="Times New Roman" w:cs="Times New Roman"/>
        </w:rPr>
      </w:pPr>
      <w:r>
        <w:rPr>
          <w:rFonts w:ascii="Times New Roman" w:hAnsi="Times New Roman" w:cs="Times New Roman"/>
        </w:rPr>
        <w:t>In this assignment you will find two tables of data regarding associations of stomach cancer risk with green or black tea consumption. For several decades, epidemiologists have been studying whether drinking tea protects against a wide range of different cancers. By this time there are enough publishe</w:t>
      </w:r>
      <w:r w:rsidR="007D3D64">
        <w:rPr>
          <w:rFonts w:ascii="Times New Roman" w:hAnsi="Times New Roman" w:cs="Times New Roman"/>
        </w:rPr>
        <w:t>d results for a meaningful meta-</w:t>
      </w:r>
      <w:r>
        <w:rPr>
          <w:rFonts w:ascii="Times New Roman" w:hAnsi="Times New Roman" w:cs="Times New Roman"/>
        </w:rPr>
        <w:t xml:space="preserve">analysis. Some of the results were from case-control studies of stomach cancer, and others were prospective studies of cancer incidence among tea drinkers and non-drinkers (or those who rarely drink tea). From each study, the tables below record the relative risk (odds ratios were assumed to be good estimators of RR) with their 95% CI, contrasting the highest and lowest levels of tea consumption reported in that population: for example, three or more cups per day versus none. </w:t>
      </w:r>
    </w:p>
    <w:p w:rsidR="00125DFF" w:rsidRDefault="00125DFF">
      <w:pPr>
        <w:spacing w:after="120" w:line="240" w:lineRule="auto"/>
        <w:rPr>
          <w:rFonts w:ascii="Times New Roman" w:hAnsi="Times New Roman" w:cs="Times New Roman"/>
        </w:rPr>
      </w:pPr>
      <w:r>
        <w:rPr>
          <w:rFonts w:ascii="Times New Roman" w:hAnsi="Times New Roman" w:cs="Times New Roman"/>
        </w:rPr>
        <w:t>Use the data in these tables, including the summary RR that we calculated for you, to draw a forest plot according to the instructions below.</w:t>
      </w:r>
    </w:p>
    <w:p w:rsidR="00232661" w:rsidRDefault="00232661">
      <w:pPr>
        <w:spacing w:after="120" w:line="240" w:lineRule="auto"/>
        <w:rPr>
          <w:rFonts w:ascii="Times New Roman" w:hAnsi="Times New Roman" w:cs="Times New Roman"/>
          <w:u w:val="single"/>
        </w:rPr>
      </w:pPr>
      <w:r>
        <w:rPr>
          <w:rFonts w:ascii="Times New Roman" w:hAnsi="Times New Roman" w:cs="Times New Roman"/>
          <w:u w:val="single"/>
        </w:rPr>
        <w:t>You can</w:t>
      </w:r>
      <w:r w:rsidR="00125DFF">
        <w:rPr>
          <w:rFonts w:ascii="Times New Roman" w:hAnsi="Times New Roman" w:cs="Times New Roman"/>
          <w:u w:val="single"/>
        </w:rPr>
        <w:t xml:space="preserve"> draw a Forest Plot by hand on graph paper, or use Excel</w:t>
      </w:r>
      <w:r w:rsidR="00506F5C">
        <w:rPr>
          <w:rFonts w:ascii="Times New Roman" w:hAnsi="Times New Roman" w:cs="Times New Roman"/>
          <w:u w:val="single"/>
        </w:rPr>
        <w:t>.</w:t>
      </w:r>
      <w:r w:rsidR="00125DFF">
        <w:rPr>
          <w:rFonts w:ascii="Times New Roman" w:hAnsi="Times New Roman" w:cs="Times New Roman"/>
          <w:u w:val="single"/>
        </w:rPr>
        <w:t xml:space="preserve"> </w:t>
      </w:r>
    </w:p>
    <w:p w:rsidR="00125DFF" w:rsidRDefault="00125DFF">
      <w:pPr>
        <w:spacing w:after="120" w:line="240" w:lineRule="auto"/>
        <w:rPr>
          <w:rFonts w:ascii="Times New Roman" w:hAnsi="Times New Roman" w:cs="Times New Roman"/>
        </w:rPr>
      </w:pPr>
      <w:r>
        <w:rPr>
          <w:rFonts w:ascii="Times New Roman" w:hAnsi="Times New Roman" w:cs="Times New Roman"/>
        </w:rPr>
        <w:t xml:space="preserve">Follow the instructions below carefully, and answer all the questions. </w:t>
      </w:r>
    </w:p>
    <w:p w:rsidR="003D2D11" w:rsidRDefault="003D2D11">
      <w:pPr>
        <w:spacing w:after="120" w:line="240" w:lineRule="auto"/>
        <w:rPr>
          <w:rFonts w:ascii="Times New Roman" w:hAnsi="Times New Roman" w:cs="Times New Roman"/>
          <w:u w:val="single"/>
        </w:rPr>
      </w:pPr>
    </w:p>
    <w:p w:rsidR="00125DFF" w:rsidRDefault="00125DFF">
      <w:pPr>
        <w:spacing w:after="120" w:line="240" w:lineRule="auto"/>
        <w:rPr>
          <w:rFonts w:ascii="Times New Roman" w:hAnsi="Times New Roman" w:cs="Times New Roman"/>
          <w:u w:val="single"/>
        </w:rPr>
      </w:pPr>
      <w:r>
        <w:rPr>
          <w:rFonts w:ascii="Times New Roman" w:hAnsi="Times New Roman" w:cs="Times New Roman"/>
          <w:u w:val="single"/>
        </w:rPr>
        <w:t>Questions about green tea</w:t>
      </w:r>
    </w:p>
    <w:p w:rsidR="00125DFF" w:rsidRDefault="00125DFF">
      <w:pPr>
        <w:spacing w:after="120" w:line="240" w:lineRule="auto"/>
        <w:rPr>
          <w:rFonts w:ascii="Times New Roman" w:hAnsi="Times New Roman" w:cs="Times New Roman"/>
        </w:rPr>
      </w:pPr>
      <w:r>
        <w:rPr>
          <w:rFonts w:ascii="Times New Roman" w:hAnsi="Times New Roman" w:cs="Times New Roman"/>
        </w:rPr>
        <w:t>1. Attach your forest plot of all green tea studies (see Table 1, below).</w:t>
      </w:r>
    </w:p>
    <w:p w:rsidR="00125DFF" w:rsidRDefault="00125DFF">
      <w:pPr>
        <w:spacing w:after="120" w:line="240" w:lineRule="auto"/>
        <w:rPr>
          <w:rFonts w:ascii="Times New Roman" w:hAnsi="Times New Roman" w:cs="Times New Roman"/>
        </w:rPr>
      </w:pPr>
      <w:r>
        <w:rPr>
          <w:rFonts w:ascii="Times New Roman" w:hAnsi="Times New Roman" w:cs="Times New Roman"/>
        </w:rPr>
        <w:t xml:space="preserve">2. Describe your overall impressions of the plot: what does it reveal? </w:t>
      </w:r>
    </w:p>
    <w:p w:rsidR="00125DFF" w:rsidRDefault="00506F5C">
      <w:pPr>
        <w:spacing w:after="120" w:line="240" w:lineRule="auto"/>
        <w:rPr>
          <w:rFonts w:ascii="Times New Roman" w:hAnsi="Times New Roman" w:cs="Times New Roman"/>
        </w:rPr>
      </w:pPr>
      <w:r>
        <w:rPr>
          <w:rFonts w:ascii="Times New Roman" w:hAnsi="Times New Roman" w:cs="Times New Roman"/>
        </w:rPr>
        <w:t>3. I</w:t>
      </w:r>
      <w:bookmarkStart w:id="0" w:name="_GoBack"/>
      <w:bookmarkEnd w:id="0"/>
      <w:r w:rsidR="00125DFF">
        <w:rPr>
          <w:rFonts w:ascii="Times New Roman" w:hAnsi="Times New Roman" w:cs="Times New Roman"/>
        </w:rPr>
        <w:t>nterpret the summary statistic (what does it mean?).</w:t>
      </w:r>
    </w:p>
    <w:p w:rsidR="00125DFF" w:rsidRDefault="00125DFF">
      <w:pPr>
        <w:spacing w:after="120" w:line="240" w:lineRule="auto"/>
        <w:rPr>
          <w:rFonts w:ascii="Times New Roman" w:hAnsi="Times New Roman" w:cs="Times New Roman"/>
        </w:rPr>
      </w:pPr>
      <w:r>
        <w:rPr>
          <w:rFonts w:ascii="Times New Roman" w:hAnsi="Times New Roman" w:cs="Times New Roman"/>
        </w:rPr>
        <w:t>4. Compare and contrast the results from the prospective group of studies with the case-control studies (with or without a forest plot). Would you derive a different conclusion from either type of study alone, compared to the plot in Question 1? You m</w:t>
      </w:r>
      <w:r w:rsidR="004C7A66">
        <w:rPr>
          <w:rFonts w:ascii="Times New Roman" w:hAnsi="Times New Roman" w:cs="Times New Roman"/>
        </w:rPr>
        <w:t>ight have to speculate about those</w:t>
      </w:r>
      <w:r>
        <w:rPr>
          <w:rFonts w:ascii="Times New Roman" w:hAnsi="Times New Roman" w:cs="Times New Roman"/>
        </w:rPr>
        <w:t xml:space="preserve"> summary RRs, </w:t>
      </w:r>
      <w:r w:rsidR="004C7A66">
        <w:rPr>
          <w:rFonts w:ascii="Times New Roman" w:hAnsi="Times New Roman" w:cs="Times New Roman"/>
        </w:rPr>
        <w:t>not provided</w:t>
      </w:r>
      <w:r>
        <w:rPr>
          <w:rFonts w:ascii="Times New Roman" w:hAnsi="Times New Roman" w:cs="Times New Roman"/>
        </w:rPr>
        <w:t xml:space="preserve"> by study type.</w:t>
      </w:r>
    </w:p>
    <w:p w:rsidR="00125DFF" w:rsidRDefault="00125DFF">
      <w:pPr>
        <w:spacing w:after="120" w:line="240" w:lineRule="auto"/>
        <w:rPr>
          <w:rFonts w:ascii="Times New Roman" w:hAnsi="Times New Roman" w:cs="Times New Roman"/>
        </w:rPr>
      </w:pPr>
      <w:r>
        <w:rPr>
          <w:rFonts w:ascii="Times New Roman" w:hAnsi="Times New Roman" w:cs="Times New Roman"/>
        </w:rPr>
        <w:t>5. Similarly, compare and contrast the group of studies from Asia with those from other countries.</w:t>
      </w:r>
    </w:p>
    <w:p w:rsidR="00125DFF" w:rsidRDefault="00125DFF">
      <w:pPr>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u w:val="single"/>
        </w:rPr>
      </w:pPr>
      <w:r>
        <w:rPr>
          <w:rFonts w:ascii="Times New Roman" w:hAnsi="Times New Roman" w:cs="Times New Roman"/>
          <w:u w:val="single"/>
        </w:rPr>
        <w:t>Questions about black tea</w:t>
      </w:r>
    </w:p>
    <w:p w:rsidR="00125DFF" w:rsidRDefault="00125DFF">
      <w:pPr>
        <w:spacing w:after="120" w:line="240" w:lineRule="auto"/>
        <w:rPr>
          <w:rFonts w:ascii="Times New Roman" w:hAnsi="Times New Roman" w:cs="Times New Roman"/>
        </w:rPr>
      </w:pPr>
      <w:r>
        <w:rPr>
          <w:rFonts w:ascii="Times New Roman" w:hAnsi="Times New Roman" w:cs="Times New Roman"/>
        </w:rPr>
        <w:t>6. Attach your forest plot of all black tea studies (see Table 2, below).</w:t>
      </w:r>
    </w:p>
    <w:p w:rsidR="00125DFF" w:rsidRDefault="00125DFF">
      <w:pPr>
        <w:spacing w:after="120" w:line="240" w:lineRule="auto"/>
        <w:rPr>
          <w:rFonts w:ascii="Times New Roman" w:hAnsi="Times New Roman" w:cs="Times New Roman"/>
        </w:rPr>
      </w:pPr>
      <w:r>
        <w:rPr>
          <w:rFonts w:ascii="Times New Roman" w:hAnsi="Times New Roman" w:cs="Times New Roman"/>
        </w:rPr>
        <w:t xml:space="preserve">7. Describe your overall impressions of the plot: what does it reveal? </w:t>
      </w:r>
    </w:p>
    <w:p w:rsidR="00125DFF" w:rsidRDefault="00506F5C">
      <w:pPr>
        <w:spacing w:after="120" w:line="240" w:lineRule="auto"/>
        <w:rPr>
          <w:rFonts w:ascii="Times New Roman" w:hAnsi="Times New Roman" w:cs="Times New Roman"/>
        </w:rPr>
      </w:pPr>
      <w:r>
        <w:rPr>
          <w:rFonts w:ascii="Times New Roman" w:hAnsi="Times New Roman" w:cs="Times New Roman"/>
        </w:rPr>
        <w:t>8. I</w:t>
      </w:r>
      <w:r w:rsidR="00125DFF">
        <w:rPr>
          <w:rFonts w:ascii="Times New Roman" w:hAnsi="Times New Roman" w:cs="Times New Roman"/>
        </w:rPr>
        <w:t>nterpret the summary statistic (what does it mean?).</w:t>
      </w:r>
    </w:p>
    <w:p w:rsidR="00125DFF" w:rsidRDefault="00125DFF">
      <w:pPr>
        <w:spacing w:after="120" w:line="240" w:lineRule="auto"/>
        <w:rPr>
          <w:rFonts w:ascii="Times New Roman" w:hAnsi="Times New Roman" w:cs="Times New Roman"/>
          <w:u w:val="single"/>
        </w:rPr>
      </w:pPr>
    </w:p>
    <w:p w:rsidR="00125DFF" w:rsidRDefault="00125DFF">
      <w:pPr>
        <w:spacing w:after="120" w:line="240" w:lineRule="auto"/>
        <w:rPr>
          <w:rFonts w:ascii="Times New Roman" w:hAnsi="Times New Roman" w:cs="Times New Roman"/>
          <w:u w:val="single"/>
        </w:rPr>
      </w:pPr>
      <w:r>
        <w:rPr>
          <w:rFonts w:ascii="Times New Roman" w:hAnsi="Times New Roman" w:cs="Times New Roman"/>
          <w:u w:val="single"/>
        </w:rPr>
        <w:t>Overall conclusions</w:t>
      </w:r>
    </w:p>
    <w:p w:rsidR="00125DFF" w:rsidRDefault="00125DFF">
      <w:pPr>
        <w:spacing w:after="120" w:line="240" w:lineRule="auto"/>
        <w:rPr>
          <w:rFonts w:ascii="Times New Roman" w:hAnsi="Times New Roman" w:cs="Times New Roman"/>
        </w:rPr>
      </w:pPr>
      <w:r>
        <w:rPr>
          <w:rFonts w:ascii="Times New Roman" w:hAnsi="Times New Roman" w:cs="Times New Roman"/>
        </w:rPr>
        <w:t>9. The information presented in the tables did not take into account the weight of each study. If you knew it, how might that information have changed your impressions of the patterns you saw in the graphs?</w:t>
      </w:r>
    </w:p>
    <w:p w:rsidR="00125DFF" w:rsidRDefault="00125DFF">
      <w:pPr>
        <w:spacing w:after="120" w:line="240" w:lineRule="auto"/>
        <w:rPr>
          <w:rFonts w:ascii="Times New Roman" w:hAnsi="Times New Roman" w:cs="Times New Roman"/>
        </w:rPr>
      </w:pPr>
      <w:r>
        <w:rPr>
          <w:rFonts w:ascii="Times New Roman" w:hAnsi="Times New Roman" w:cs="Times New Roman"/>
        </w:rPr>
        <w:t xml:space="preserve">10. Meta analysis can be a useful tool to summarize the medical literature on a specific association. Besides the information you have seen in these tables and graphs, what else would you want to know </w:t>
      </w:r>
      <w:r w:rsidR="006C271E">
        <w:rPr>
          <w:rFonts w:ascii="Times New Roman" w:hAnsi="Times New Roman" w:cs="Times New Roman"/>
        </w:rPr>
        <w:t xml:space="preserve">before </w:t>
      </w:r>
      <w:r>
        <w:rPr>
          <w:rFonts w:ascii="Times New Roman" w:hAnsi="Times New Roman" w:cs="Times New Roman"/>
        </w:rPr>
        <w:t>recommending that everyone drink tea to prevent cancer?</w:t>
      </w:r>
    </w:p>
    <w:p w:rsidR="00125DFF" w:rsidRDefault="00125DFF">
      <w:pPr>
        <w:pStyle w:val="ListParagraph"/>
        <w:spacing w:after="120" w:line="240" w:lineRule="auto"/>
        <w:rPr>
          <w:rFonts w:ascii="Times New Roman" w:hAnsi="Times New Roman" w:cs="Times New Roman"/>
        </w:rPr>
      </w:pPr>
    </w:p>
    <w:p w:rsidR="00125DFF" w:rsidRDefault="00125DFF">
      <w:pPr>
        <w:pStyle w:val="ListParagraph"/>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rPr>
      </w:pPr>
      <w:r>
        <w:rPr>
          <w:rFonts w:ascii="Times New Roman" w:hAnsi="Times New Roman" w:cs="Times New Roman"/>
        </w:rPr>
        <w:lastRenderedPageBreak/>
        <w:t>Table 1. Risk estimates from studies of green tea consumption (comparing highest level to none/lowest) and stomach cancer risk</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2124"/>
        <w:gridCol w:w="2340"/>
        <w:gridCol w:w="2070"/>
      </w:tblGrid>
      <w:tr w:rsidR="00125DFF">
        <w:tc>
          <w:tcPr>
            <w:tcW w:w="2106" w:type="dxa"/>
            <w:shd w:val="pct12" w:color="auto" w:fill="auto"/>
          </w:tcPr>
          <w:p w:rsidR="00125DFF" w:rsidRDefault="00125DFF">
            <w:pPr>
              <w:spacing w:after="120" w:line="240" w:lineRule="auto"/>
              <w:jc w:val="center"/>
            </w:pPr>
            <w:r>
              <w:t>Country</w:t>
            </w:r>
          </w:p>
        </w:tc>
        <w:tc>
          <w:tcPr>
            <w:tcW w:w="2124" w:type="dxa"/>
            <w:shd w:val="pct12" w:color="auto" w:fill="auto"/>
          </w:tcPr>
          <w:p w:rsidR="00125DFF" w:rsidRDefault="00125DFF">
            <w:pPr>
              <w:spacing w:after="120" w:line="240" w:lineRule="auto"/>
              <w:jc w:val="center"/>
            </w:pPr>
            <w:r>
              <w:t>Study type</w:t>
            </w:r>
          </w:p>
        </w:tc>
        <w:tc>
          <w:tcPr>
            <w:tcW w:w="2340" w:type="dxa"/>
            <w:shd w:val="pct12" w:color="auto" w:fill="auto"/>
          </w:tcPr>
          <w:p w:rsidR="00125DFF" w:rsidRDefault="00125DFF">
            <w:pPr>
              <w:spacing w:after="120" w:line="240" w:lineRule="auto"/>
              <w:jc w:val="center"/>
            </w:pPr>
            <w:r>
              <w:t>Author, year</w:t>
            </w:r>
          </w:p>
        </w:tc>
        <w:tc>
          <w:tcPr>
            <w:tcW w:w="2070" w:type="dxa"/>
            <w:shd w:val="pct12" w:color="auto" w:fill="auto"/>
          </w:tcPr>
          <w:p w:rsidR="00125DFF" w:rsidRDefault="00125DFF">
            <w:pPr>
              <w:spacing w:after="120" w:line="240" w:lineRule="auto"/>
              <w:jc w:val="center"/>
            </w:pPr>
            <w:r>
              <w:t>RR (95% CI)</w:t>
            </w:r>
          </w:p>
        </w:tc>
      </w:tr>
      <w:tr w:rsidR="00125DFF">
        <w:tc>
          <w:tcPr>
            <w:tcW w:w="2106" w:type="dxa"/>
          </w:tcPr>
          <w:p w:rsidR="00125DFF" w:rsidRDefault="00125DFF">
            <w:pPr>
              <w:spacing w:after="120" w:line="240" w:lineRule="auto"/>
            </w:pPr>
            <w:r>
              <w:t>China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Tewes</w:t>
            </w:r>
            <w:proofErr w:type="spellEnd"/>
            <w:r>
              <w:t xml:space="preserve"> 1990</w:t>
            </w:r>
          </w:p>
        </w:tc>
        <w:tc>
          <w:tcPr>
            <w:tcW w:w="2070" w:type="dxa"/>
          </w:tcPr>
          <w:p w:rsidR="00125DFF" w:rsidRDefault="00125DFF">
            <w:pPr>
              <w:spacing w:after="120" w:line="240" w:lineRule="auto"/>
            </w:pPr>
            <w:r>
              <w:t>2.74  (1.10 - 6.81)</w:t>
            </w:r>
          </w:p>
        </w:tc>
      </w:tr>
      <w:tr w:rsidR="00125DFF">
        <w:tc>
          <w:tcPr>
            <w:tcW w:w="2106" w:type="dxa"/>
          </w:tcPr>
          <w:p w:rsidR="00125DFF" w:rsidRDefault="00125DFF">
            <w:pPr>
              <w:spacing w:after="120" w:line="240" w:lineRule="auto"/>
            </w:pPr>
            <w:r>
              <w:t>Japan</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Ohno</w:t>
            </w:r>
            <w:proofErr w:type="spellEnd"/>
            <w:r>
              <w:t xml:space="preserve"> 1995</w:t>
            </w:r>
          </w:p>
        </w:tc>
        <w:tc>
          <w:tcPr>
            <w:tcW w:w="2070" w:type="dxa"/>
          </w:tcPr>
          <w:p w:rsidR="00125DFF" w:rsidRDefault="00125DFF">
            <w:pPr>
              <w:spacing w:after="120" w:line="240" w:lineRule="auto"/>
            </w:pPr>
            <w:r>
              <w:t>0.52 (0.30-0.90)</w:t>
            </w:r>
          </w:p>
        </w:tc>
      </w:tr>
      <w:tr w:rsidR="00125DFF">
        <w:tc>
          <w:tcPr>
            <w:tcW w:w="2106" w:type="dxa"/>
          </w:tcPr>
          <w:p w:rsidR="00125DFF" w:rsidRDefault="00125DFF">
            <w:pPr>
              <w:spacing w:after="120" w:line="240" w:lineRule="auto"/>
            </w:pPr>
            <w:r>
              <w:t>China</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r>
              <w:t>Xu 1996</w:t>
            </w:r>
          </w:p>
        </w:tc>
        <w:tc>
          <w:tcPr>
            <w:tcW w:w="2070" w:type="dxa"/>
          </w:tcPr>
          <w:p w:rsidR="00125DFF" w:rsidRDefault="00125DFF">
            <w:pPr>
              <w:spacing w:after="120" w:line="240" w:lineRule="auto"/>
            </w:pPr>
            <w:r>
              <w:t>0.50 (0.41- 0.61)</w:t>
            </w:r>
          </w:p>
        </w:tc>
      </w:tr>
      <w:tr w:rsidR="00125DFF">
        <w:tc>
          <w:tcPr>
            <w:tcW w:w="2106" w:type="dxa"/>
          </w:tcPr>
          <w:p w:rsidR="00125DFF" w:rsidRDefault="00125DFF">
            <w:pPr>
              <w:spacing w:after="120" w:line="240" w:lineRule="auto"/>
            </w:pPr>
            <w:r>
              <w:t>Japan</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proofErr w:type="spellStart"/>
            <w:r>
              <w:t>Nakachi</w:t>
            </w:r>
            <w:proofErr w:type="spellEnd"/>
            <w:r>
              <w:t xml:space="preserve"> 2000</w:t>
            </w:r>
          </w:p>
        </w:tc>
        <w:tc>
          <w:tcPr>
            <w:tcW w:w="2070" w:type="dxa"/>
          </w:tcPr>
          <w:p w:rsidR="00125DFF" w:rsidRDefault="00125DFF">
            <w:pPr>
              <w:spacing w:after="120" w:line="240" w:lineRule="auto"/>
            </w:pPr>
            <w:r>
              <w:t>0.33 (0.11 - 0.96)</w:t>
            </w:r>
          </w:p>
        </w:tc>
      </w:tr>
      <w:tr w:rsidR="00125DFF">
        <w:tc>
          <w:tcPr>
            <w:tcW w:w="2106" w:type="dxa"/>
          </w:tcPr>
          <w:p w:rsidR="00125DFF" w:rsidRDefault="00125DFF">
            <w:pPr>
              <w:spacing w:after="120" w:line="240" w:lineRule="auto"/>
            </w:pPr>
            <w:r>
              <w:t>USA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LeMarchand</w:t>
            </w:r>
            <w:proofErr w:type="spellEnd"/>
            <w:r>
              <w:t xml:space="preserve"> 2000</w:t>
            </w:r>
          </w:p>
        </w:tc>
        <w:tc>
          <w:tcPr>
            <w:tcW w:w="2070" w:type="dxa"/>
          </w:tcPr>
          <w:p w:rsidR="00125DFF" w:rsidRDefault="00125DFF">
            <w:pPr>
              <w:spacing w:after="120" w:line="240" w:lineRule="auto"/>
            </w:pPr>
            <w:r>
              <w:t>0.90 (0.50-1.61)</w:t>
            </w:r>
          </w:p>
        </w:tc>
      </w:tr>
      <w:tr w:rsidR="00125DFF">
        <w:tc>
          <w:tcPr>
            <w:tcW w:w="2106" w:type="dxa"/>
          </w:tcPr>
          <w:p w:rsidR="00125DFF" w:rsidRDefault="00125DFF">
            <w:pPr>
              <w:spacing w:after="120" w:line="240" w:lineRule="auto"/>
            </w:pPr>
            <w:r>
              <w:t>Japan</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r>
              <w:t>Nagano 2001</w:t>
            </w:r>
          </w:p>
        </w:tc>
        <w:tc>
          <w:tcPr>
            <w:tcW w:w="2070" w:type="dxa"/>
          </w:tcPr>
          <w:p w:rsidR="00125DFF" w:rsidRDefault="00125DFF">
            <w:pPr>
              <w:spacing w:after="120" w:line="240" w:lineRule="auto"/>
            </w:pPr>
            <w:r>
              <w:t>0.79 (0.58 - 1.08)</w:t>
            </w:r>
          </w:p>
        </w:tc>
      </w:tr>
      <w:tr w:rsidR="00125DFF">
        <w:tc>
          <w:tcPr>
            <w:tcW w:w="2106" w:type="dxa"/>
          </w:tcPr>
          <w:p w:rsidR="00125DFF" w:rsidRDefault="00125DFF">
            <w:pPr>
              <w:spacing w:after="120" w:line="240" w:lineRule="auto"/>
            </w:pPr>
            <w:r>
              <w:t>China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r>
              <w:t>Zhong 2001</w:t>
            </w:r>
          </w:p>
        </w:tc>
        <w:tc>
          <w:tcPr>
            <w:tcW w:w="2070" w:type="dxa"/>
          </w:tcPr>
          <w:p w:rsidR="00125DFF" w:rsidRDefault="00125DFF">
            <w:pPr>
              <w:spacing w:after="120" w:line="240" w:lineRule="auto"/>
            </w:pPr>
            <w:r>
              <w:t>0.51 (0.28 – 0.93)</w:t>
            </w:r>
          </w:p>
        </w:tc>
      </w:tr>
      <w:tr w:rsidR="00125DFF">
        <w:tc>
          <w:tcPr>
            <w:tcW w:w="2106" w:type="dxa"/>
          </w:tcPr>
          <w:p w:rsidR="00125DFF" w:rsidRDefault="00125DFF">
            <w:pPr>
              <w:spacing w:after="120" w:line="240" w:lineRule="auto"/>
            </w:pPr>
            <w:r>
              <w:t>Japan</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Takezaki</w:t>
            </w:r>
            <w:proofErr w:type="spellEnd"/>
            <w:r>
              <w:t xml:space="preserve"> 2001</w:t>
            </w:r>
          </w:p>
        </w:tc>
        <w:tc>
          <w:tcPr>
            <w:tcW w:w="2070" w:type="dxa"/>
          </w:tcPr>
          <w:p w:rsidR="00125DFF" w:rsidRDefault="00125DFF">
            <w:pPr>
              <w:spacing w:after="120" w:line="240" w:lineRule="auto"/>
            </w:pPr>
            <w:r>
              <w:t>1.11 (0.83 – 1.48)</w:t>
            </w:r>
          </w:p>
        </w:tc>
      </w:tr>
      <w:tr w:rsidR="00125DFF">
        <w:tc>
          <w:tcPr>
            <w:tcW w:w="2106" w:type="dxa"/>
          </w:tcPr>
          <w:p w:rsidR="00125DFF" w:rsidRDefault="00125DFF">
            <w:pPr>
              <w:spacing w:after="120" w:line="240" w:lineRule="auto"/>
            </w:pPr>
            <w:r>
              <w:t>Japan</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r>
              <w:t>Khan 2004</w:t>
            </w:r>
          </w:p>
        </w:tc>
        <w:tc>
          <w:tcPr>
            <w:tcW w:w="2070" w:type="dxa"/>
          </w:tcPr>
          <w:p w:rsidR="00125DFF" w:rsidRDefault="00125DFF">
            <w:pPr>
              <w:spacing w:after="120" w:line="240" w:lineRule="auto"/>
            </w:pPr>
            <w:r>
              <w:t>0.62 (0.34 – 1.14)</w:t>
            </w:r>
          </w:p>
        </w:tc>
      </w:tr>
      <w:tr w:rsidR="00125DFF">
        <w:tc>
          <w:tcPr>
            <w:tcW w:w="2106" w:type="dxa"/>
          </w:tcPr>
          <w:p w:rsidR="00125DFF" w:rsidRDefault="00125DFF">
            <w:pPr>
              <w:spacing w:after="120" w:line="240" w:lineRule="auto"/>
            </w:pPr>
            <w:r>
              <w:t>China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r>
              <w:t>Bonner 2005</w:t>
            </w:r>
          </w:p>
        </w:tc>
        <w:tc>
          <w:tcPr>
            <w:tcW w:w="2070" w:type="dxa"/>
          </w:tcPr>
          <w:p w:rsidR="00125DFF" w:rsidRDefault="00125DFF">
            <w:pPr>
              <w:spacing w:after="120" w:line="240" w:lineRule="auto"/>
            </w:pPr>
            <w:r>
              <w:t>0.59 (0.26 – 1.35)</w:t>
            </w:r>
          </w:p>
        </w:tc>
      </w:tr>
      <w:tr w:rsidR="00125DFF">
        <w:tc>
          <w:tcPr>
            <w:tcW w:w="2106" w:type="dxa"/>
          </w:tcPr>
          <w:p w:rsidR="00125DFF" w:rsidRDefault="00125DFF">
            <w:pPr>
              <w:spacing w:after="120" w:line="240" w:lineRule="auto"/>
            </w:pPr>
            <w:r>
              <w:t>Czech</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Kubik</w:t>
            </w:r>
            <w:proofErr w:type="spellEnd"/>
            <w:r>
              <w:t xml:space="preserve"> 2008</w:t>
            </w:r>
          </w:p>
        </w:tc>
        <w:tc>
          <w:tcPr>
            <w:tcW w:w="2070" w:type="dxa"/>
          </w:tcPr>
          <w:p w:rsidR="00125DFF" w:rsidRDefault="00125DFF">
            <w:pPr>
              <w:spacing w:after="120" w:line="240" w:lineRule="auto"/>
            </w:pPr>
            <w:r>
              <w:t>0.99 (0.81 – 1.20)</w:t>
            </w:r>
          </w:p>
        </w:tc>
      </w:tr>
      <w:tr w:rsidR="00125DFF">
        <w:tc>
          <w:tcPr>
            <w:tcW w:w="2106" w:type="dxa"/>
          </w:tcPr>
          <w:p w:rsidR="00125DFF" w:rsidRDefault="00125DFF">
            <w:pPr>
              <w:spacing w:after="120" w:line="240" w:lineRule="auto"/>
            </w:pPr>
            <w:r>
              <w:t>Canada</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r>
              <w:t>Li 2008</w:t>
            </w:r>
          </w:p>
        </w:tc>
        <w:tc>
          <w:tcPr>
            <w:tcW w:w="2070" w:type="dxa"/>
          </w:tcPr>
          <w:p w:rsidR="00125DFF" w:rsidRDefault="00125DFF">
            <w:pPr>
              <w:spacing w:after="120" w:line="240" w:lineRule="auto"/>
            </w:pPr>
            <w:r>
              <w:t>1.17 (0.85 – 1.61)</w:t>
            </w:r>
          </w:p>
        </w:tc>
      </w:tr>
      <w:tr w:rsidR="00125DFF">
        <w:tc>
          <w:tcPr>
            <w:tcW w:w="2106" w:type="dxa"/>
          </w:tcPr>
          <w:p w:rsidR="00125DFF" w:rsidRDefault="00125DFF">
            <w:pPr>
              <w:spacing w:after="120" w:line="240" w:lineRule="auto"/>
            </w:pPr>
          </w:p>
        </w:tc>
        <w:tc>
          <w:tcPr>
            <w:tcW w:w="2124" w:type="dxa"/>
          </w:tcPr>
          <w:p w:rsidR="00125DFF" w:rsidRDefault="00125DFF">
            <w:pPr>
              <w:spacing w:after="120" w:line="240" w:lineRule="auto"/>
            </w:pPr>
          </w:p>
        </w:tc>
        <w:tc>
          <w:tcPr>
            <w:tcW w:w="2340" w:type="dxa"/>
          </w:tcPr>
          <w:p w:rsidR="00125DFF" w:rsidRDefault="00125DFF">
            <w:pPr>
              <w:spacing w:after="120" w:line="240" w:lineRule="auto"/>
            </w:pPr>
            <w:r>
              <w:t>summary</w:t>
            </w:r>
          </w:p>
        </w:tc>
        <w:tc>
          <w:tcPr>
            <w:tcW w:w="2070" w:type="dxa"/>
          </w:tcPr>
          <w:p w:rsidR="00125DFF" w:rsidRDefault="00125DFF">
            <w:pPr>
              <w:spacing w:after="120" w:line="240" w:lineRule="auto"/>
            </w:pPr>
            <w:r>
              <w:t>0.78 (0.61 - 0.96)</w:t>
            </w:r>
          </w:p>
        </w:tc>
      </w:tr>
    </w:tbl>
    <w:p w:rsidR="00125DFF" w:rsidRDefault="00125DFF">
      <w:pPr>
        <w:spacing w:after="120" w:line="240" w:lineRule="auto"/>
        <w:rPr>
          <w:rFonts w:ascii="Times New Roman" w:hAnsi="Times New Roman" w:cs="Times New Roman"/>
        </w:rPr>
      </w:pPr>
    </w:p>
    <w:p w:rsidR="001D0A12" w:rsidRDefault="001D0A12">
      <w:pPr>
        <w:spacing w:after="120" w:line="240" w:lineRule="auto"/>
        <w:rPr>
          <w:rFonts w:ascii="Times New Roman" w:hAnsi="Times New Roman" w:cs="Times New Roman"/>
        </w:rPr>
      </w:pPr>
    </w:p>
    <w:p w:rsidR="00125DFF" w:rsidRDefault="00125DFF">
      <w:pPr>
        <w:spacing w:after="120" w:line="240" w:lineRule="auto"/>
        <w:rPr>
          <w:rFonts w:ascii="Times New Roman" w:hAnsi="Times New Roman" w:cs="Times New Roman"/>
        </w:rPr>
      </w:pPr>
      <w:r>
        <w:rPr>
          <w:rFonts w:ascii="Times New Roman" w:hAnsi="Times New Roman" w:cs="Times New Roman"/>
        </w:rPr>
        <w:t>Table 2. Risk estimates from studies of black tea consumption (comparing highest level to none/lowest) and stomach cancer risk</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2124"/>
        <w:gridCol w:w="2340"/>
        <w:gridCol w:w="2070"/>
      </w:tblGrid>
      <w:tr w:rsidR="00125DFF">
        <w:tc>
          <w:tcPr>
            <w:tcW w:w="2106" w:type="dxa"/>
            <w:shd w:val="pct12" w:color="auto" w:fill="auto"/>
          </w:tcPr>
          <w:p w:rsidR="00125DFF" w:rsidRDefault="00125DFF">
            <w:pPr>
              <w:spacing w:after="120" w:line="240" w:lineRule="auto"/>
              <w:jc w:val="center"/>
            </w:pPr>
            <w:r>
              <w:t>Country</w:t>
            </w:r>
          </w:p>
        </w:tc>
        <w:tc>
          <w:tcPr>
            <w:tcW w:w="2124" w:type="dxa"/>
            <w:shd w:val="pct12" w:color="auto" w:fill="auto"/>
          </w:tcPr>
          <w:p w:rsidR="00125DFF" w:rsidRDefault="00125DFF">
            <w:pPr>
              <w:spacing w:after="120" w:line="240" w:lineRule="auto"/>
              <w:jc w:val="center"/>
            </w:pPr>
            <w:r>
              <w:t>Study type</w:t>
            </w:r>
          </w:p>
        </w:tc>
        <w:tc>
          <w:tcPr>
            <w:tcW w:w="2340" w:type="dxa"/>
            <w:shd w:val="pct12" w:color="auto" w:fill="auto"/>
          </w:tcPr>
          <w:p w:rsidR="00125DFF" w:rsidRDefault="00125DFF">
            <w:pPr>
              <w:spacing w:after="120" w:line="240" w:lineRule="auto"/>
              <w:jc w:val="center"/>
            </w:pPr>
            <w:r>
              <w:t>Author, year</w:t>
            </w:r>
          </w:p>
        </w:tc>
        <w:tc>
          <w:tcPr>
            <w:tcW w:w="2070" w:type="dxa"/>
            <w:shd w:val="pct12" w:color="auto" w:fill="auto"/>
          </w:tcPr>
          <w:p w:rsidR="00125DFF" w:rsidRDefault="00125DFF">
            <w:pPr>
              <w:spacing w:after="120" w:line="240" w:lineRule="auto"/>
              <w:jc w:val="center"/>
            </w:pPr>
            <w:r>
              <w:t>RR (95% CI)</w:t>
            </w:r>
          </w:p>
        </w:tc>
      </w:tr>
      <w:tr w:rsidR="00125DFF">
        <w:tc>
          <w:tcPr>
            <w:tcW w:w="2106" w:type="dxa"/>
          </w:tcPr>
          <w:p w:rsidR="00125DFF" w:rsidRDefault="00125DFF">
            <w:pPr>
              <w:spacing w:after="120" w:line="240" w:lineRule="auto"/>
            </w:pPr>
            <w:r>
              <w:t>USA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Mettlin</w:t>
            </w:r>
            <w:proofErr w:type="spellEnd"/>
            <w:r>
              <w:t xml:space="preserve"> 1989</w:t>
            </w:r>
          </w:p>
        </w:tc>
        <w:tc>
          <w:tcPr>
            <w:tcW w:w="2070" w:type="dxa"/>
          </w:tcPr>
          <w:p w:rsidR="00125DFF" w:rsidRDefault="00125DFF">
            <w:pPr>
              <w:spacing w:after="120" w:line="240" w:lineRule="auto"/>
            </w:pPr>
            <w:r>
              <w:t>1.09  (0.62 – 1.92)</w:t>
            </w:r>
          </w:p>
        </w:tc>
      </w:tr>
      <w:tr w:rsidR="00125DFF">
        <w:tc>
          <w:tcPr>
            <w:tcW w:w="2106" w:type="dxa"/>
          </w:tcPr>
          <w:p w:rsidR="00125DFF" w:rsidRDefault="00125DFF">
            <w:pPr>
              <w:spacing w:after="120" w:line="240" w:lineRule="auto"/>
            </w:pPr>
            <w:r>
              <w:t>China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Tewes</w:t>
            </w:r>
            <w:proofErr w:type="spellEnd"/>
            <w:r>
              <w:t xml:space="preserve"> 1990</w:t>
            </w:r>
          </w:p>
        </w:tc>
        <w:tc>
          <w:tcPr>
            <w:tcW w:w="2070" w:type="dxa"/>
          </w:tcPr>
          <w:p w:rsidR="00125DFF" w:rsidRDefault="00125DFF">
            <w:pPr>
              <w:spacing w:after="120" w:line="240" w:lineRule="auto"/>
            </w:pPr>
            <w:r>
              <w:t>1.43  (0.88 – 2.33)</w:t>
            </w:r>
          </w:p>
        </w:tc>
      </w:tr>
      <w:tr w:rsidR="00125DFF">
        <w:tc>
          <w:tcPr>
            <w:tcW w:w="2106" w:type="dxa"/>
          </w:tcPr>
          <w:p w:rsidR="00125DFF" w:rsidRDefault="00125DFF">
            <w:pPr>
              <w:spacing w:after="120" w:line="240" w:lineRule="auto"/>
            </w:pPr>
            <w:r>
              <w:t>Netherlands</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proofErr w:type="spellStart"/>
            <w:r>
              <w:t>Goldbohm</w:t>
            </w:r>
            <w:proofErr w:type="spellEnd"/>
            <w:r>
              <w:t xml:space="preserve"> 1996</w:t>
            </w:r>
          </w:p>
        </w:tc>
        <w:tc>
          <w:tcPr>
            <w:tcW w:w="2070" w:type="dxa"/>
          </w:tcPr>
          <w:p w:rsidR="00125DFF" w:rsidRDefault="00125DFF">
            <w:pPr>
              <w:spacing w:after="120" w:line="240" w:lineRule="auto"/>
            </w:pPr>
            <w:r>
              <w:t>1.07  (0.73- 1.57)</w:t>
            </w:r>
          </w:p>
        </w:tc>
      </w:tr>
      <w:tr w:rsidR="00125DFF">
        <w:tc>
          <w:tcPr>
            <w:tcW w:w="2106" w:type="dxa"/>
          </w:tcPr>
          <w:p w:rsidR="00125DFF" w:rsidRDefault="00125DFF">
            <w:pPr>
              <w:spacing w:after="120" w:line="240" w:lineRule="auto"/>
            </w:pPr>
            <w:r>
              <w:t>USA</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r>
              <w:t>Zheng 1996</w:t>
            </w:r>
          </w:p>
        </w:tc>
        <w:tc>
          <w:tcPr>
            <w:tcW w:w="2070" w:type="dxa"/>
          </w:tcPr>
          <w:p w:rsidR="00125DFF" w:rsidRDefault="00125DFF">
            <w:pPr>
              <w:spacing w:after="120" w:line="240" w:lineRule="auto"/>
            </w:pPr>
            <w:r>
              <w:t>1.05  (0.71 – 1.55)</w:t>
            </w:r>
          </w:p>
        </w:tc>
      </w:tr>
      <w:tr w:rsidR="00125DFF">
        <w:tc>
          <w:tcPr>
            <w:tcW w:w="2106" w:type="dxa"/>
          </w:tcPr>
          <w:p w:rsidR="00125DFF" w:rsidRDefault="00125DFF">
            <w:pPr>
              <w:spacing w:after="120" w:line="240" w:lineRule="auto"/>
            </w:pPr>
            <w:r>
              <w:t>Sweden</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Axelsson</w:t>
            </w:r>
            <w:proofErr w:type="spellEnd"/>
            <w:r>
              <w:t xml:space="preserve"> 1996</w:t>
            </w:r>
          </w:p>
        </w:tc>
        <w:tc>
          <w:tcPr>
            <w:tcW w:w="2070" w:type="dxa"/>
          </w:tcPr>
          <w:p w:rsidR="00125DFF" w:rsidRDefault="00125DFF">
            <w:pPr>
              <w:spacing w:after="120" w:line="240" w:lineRule="auto"/>
            </w:pPr>
            <w:r>
              <w:t>0.74  (0.33 - 1.65)</w:t>
            </w:r>
          </w:p>
        </w:tc>
      </w:tr>
      <w:tr w:rsidR="00125DFF">
        <w:tc>
          <w:tcPr>
            <w:tcW w:w="2106" w:type="dxa"/>
          </w:tcPr>
          <w:p w:rsidR="00125DFF" w:rsidRDefault="00125DFF">
            <w:pPr>
              <w:spacing w:after="120" w:line="240" w:lineRule="auto"/>
            </w:pPr>
            <w:r>
              <w:t>Sweden</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r>
              <w:t>Nyberg 1998</w:t>
            </w:r>
          </w:p>
        </w:tc>
        <w:tc>
          <w:tcPr>
            <w:tcW w:w="2070" w:type="dxa"/>
          </w:tcPr>
          <w:p w:rsidR="00125DFF" w:rsidRDefault="00125DFF">
            <w:pPr>
              <w:spacing w:after="120" w:line="240" w:lineRule="auto"/>
            </w:pPr>
            <w:r>
              <w:t>1.27  (0.73 – 2.21)</w:t>
            </w:r>
          </w:p>
        </w:tc>
      </w:tr>
      <w:tr w:rsidR="00125DFF">
        <w:tc>
          <w:tcPr>
            <w:tcW w:w="2106" w:type="dxa"/>
          </w:tcPr>
          <w:p w:rsidR="00125DFF" w:rsidRDefault="00125DFF">
            <w:pPr>
              <w:spacing w:after="120" w:line="240" w:lineRule="auto"/>
            </w:pPr>
            <w:r>
              <w:t>Uruguay</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Mendia</w:t>
            </w:r>
            <w:proofErr w:type="spellEnd"/>
            <w:r>
              <w:t xml:space="preserve"> 1998</w:t>
            </w:r>
          </w:p>
        </w:tc>
        <w:tc>
          <w:tcPr>
            <w:tcW w:w="2070" w:type="dxa"/>
          </w:tcPr>
          <w:p w:rsidR="00125DFF" w:rsidRDefault="00125DFF">
            <w:pPr>
              <w:spacing w:after="120" w:line="240" w:lineRule="auto"/>
            </w:pPr>
            <w:r>
              <w:t>0.34  (0.14 – 0.83)</w:t>
            </w:r>
          </w:p>
        </w:tc>
      </w:tr>
      <w:tr w:rsidR="00125DFF">
        <w:tc>
          <w:tcPr>
            <w:tcW w:w="2106" w:type="dxa"/>
          </w:tcPr>
          <w:p w:rsidR="00125DFF" w:rsidRDefault="00125DFF">
            <w:pPr>
              <w:spacing w:after="120" w:line="240" w:lineRule="auto"/>
            </w:pPr>
            <w:r>
              <w:t>USA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LeMarchand</w:t>
            </w:r>
            <w:proofErr w:type="spellEnd"/>
            <w:r>
              <w:t xml:space="preserve"> 2000</w:t>
            </w:r>
          </w:p>
        </w:tc>
        <w:tc>
          <w:tcPr>
            <w:tcW w:w="2070" w:type="dxa"/>
          </w:tcPr>
          <w:p w:rsidR="00125DFF" w:rsidRDefault="00125DFF">
            <w:pPr>
              <w:spacing w:after="120" w:line="240" w:lineRule="auto"/>
            </w:pPr>
            <w:r>
              <w:t>1.10 (0.69 - 1.76)</w:t>
            </w:r>
          </w:p>
        </w:tc>
      </w:tr>
      <w:tr w:rsidR="00125DFF">
        <w:tc>
          <w:tcPr>
            <w:tcW w:w="2106" w:type="dxa"/>
          </w:tcPr>
          <w:p w:rsidR="00125DFF" w:rsidRDefault="00125DFF">
            <w:pPr>
              <w:spacing w:after="120" w:line="240" w:lineRule="auto"/>
            </w:pPr>
            <w:r>
              <w:t>Finland</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proofErr w:type="spellStart"/>
            <w:r>
              <w:t>Hirvonen</w:t>
            </w:r>
            <w:proofErr w:type="spellEnd"/>
            <w:r>
              <w:t xml:space="preserve"> 2001</w:t>
            </w:r>
          </w:p>
        </w:tc>
        <w:tc>
          <w:tcPr>
            <w:tcW w:w="2070" w:type="dxa"/>
          </w:tcPr>
          <w:p w:rsidR="00125DFF" w:rsidRDefault="00125DFF">
            <w:pPr>
              <w:spacing w:after="120" w:line="240" w:lineRule="auto"/>
            </w:pPr>
            <w:r>
              <w:t>0.66  (0.54 – 0.81)</w:t>
            </w:r>
          </w:p>
        </w:tc>
      </w:tr>
      <w:tr w:rsidR="00125DFF">
        <w:tc>
          <w:tcPr>
            <w:tcW w:w="2106" w:type="dxa"/>
          </w:tcPr>
          <w:p w:rsidR="00125DFF" w:rsidRDefault="00125DFF">
            <w:pPr>
              <w:spacing w:after="120" w:line="240" w:lineRule="auto"/>
            </w:pPr>
            <w:r>
              <w:t>Canada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r>
              <w:t>Hu 2002</w:t>
            </w:r>
          </w:p>
        </w:tc>
        <w:tc>
          <w:tcPr>
            <w:tcW w:w="2070" w:type="dxa"/>
          </w:tcPr>
          <w:p w:rsidR="00125DFF" w:rsidRDefault="00125DFF">
            <w:pPr>
              <w:spacing w:after="120" w:line="240" w:lineRule="auto"/>
            </w:pPr>
            <w:r>
              <w:t>0.40  (0.21 – 0.75)</w:t>
            </w:r>
          </w:p>
        </w:tc>
      </w:tr>
      <w:tr w:rsidR="00125DFF">
        <w:tc>
          <w:tcPr>
            <w:tcW w:w="2106" w:type="dxa"/>
          </w:tcPr>
          <w:p w:rsidR="00125DFF" w:rsidRDefault="00125DFF">
            <w:pPr>
              <w:spacing w:after="120" w:line="240" w:lineRule="auto"/>
            </w:pPr>
            <w:r>
              <w:t>Japan</w:t>
            </w:r>
          </w:p>
        </w:tc>
        <w:tc>
          <w:tcPr>
            <w:tcW w:w="2124" w:type="dxa"/>
          </w:tcPr>
          <w:p w:rsidR="00125DFF" w:rsidRDefault="00125DFF">
            <w:pPr>
              <w:spacing w:after="120" w:line="240" w:lineRule="auto"/>
            </w:pPr>
            <w:r>
              <w:t>Prospective cohort</w:t>
            </w:r>
          </w:p>
        </w:tc>
        <w:tc>
          <w:tcPr>
            <w:tcW w:w="2340" w:type="dxa"/>
          </w:tcPr>
          <w:p w:rsidR="00125DFF" w:rsidRDefault="00125DFF">
            <w:pPr>
              <w:spacing w:after="120" w:line="240" w:lineRule="auto"/>
            </w:pPr>
            <w:r>
              <w:t>Khan 2004</w:t>
            </w:r>
          </w:p>
        </w:tc>
        <w:tc>
          <w:tcPr>
            <w:tcW w:w="2070" w:type="dxa"/>
          </w:tcPr>
          <w:p w:rsidR="00125DFF" w:rsidRDefault="00125DFF">
            <w:pPr>
              <w:spacing w:after="120" w:line="240" w:lineRule="auto"/>
            </w:pPr>
            <w:r>
              <w:t>0.97  (0.28 – 3.40)</w:t>
            </w:r>
          </w:p>
        </w:tc>
      </w:tr>
      <w:tr w:rsidR="00125DFF">
        <w:tc>
          <w:tcPr>
            <w:tcW w:w="2106" w:type="dxa"/>
          </w:tcPr>
          <w:p w:rsidR="00125DFF" w:rsidRDefault="00125DFF">
            <w:pPr>
              <w:spacing w:after="120" w:line="240" w:lineRule="auto"/>
            </w:pPr>
            <w:r>
              <w:t>USA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r>
              <w:t>Baker 2005</w:t>
            </w:r>
          </w:p>
        </w:tc>
        <w:tc>
          <w:tcPr>
            <w:tcW w:w="2070" w:type="dxa"/>
          </w:tcPr>
          <w:p w:rsidR="00125DFF" w:rsidRDefault="00125DFF">
            <w:pPr>
              <w:spacing w:after="120" w:line="240" w:lineRule="auto"/>
            </w:pPr>
            <w:r>
              <w:t>0.90  (0.66 – 1.23)</w:t>
            </w:r>
          </w:p>
        </w:tc>
      </w:tr>
      <w:tr w:rsidR="00125DFF">
        <w:tc>
          <w:tcPr>
            <w:tcW w:w="2106" w:type="dxa"/>
          </w:tcPr>
          <w:p w:rsidR="00125DFF" w:rsidRDefault="00125DFF">
            <w:pPr>
              <w:spacing w:after="120" w:line="240" w:lineRule="auto"/>
            </w:pPr>
            <w:r>
              <w:t>USA</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r>
              <w:t>Cui 2008</w:t>
            </w:r>
          </w:p>
        </w:tc>
        <w:tc>
          <w:tcPr>
            <w:tcW w:w="2070" w:type="dxa"/>
          </w:tcPr>
          <w:p w:rsidR="00125DFF" w:rsidRDefault="00125DFF">
            <w:pPr>
              <w:spacing w:after="120" w:line="240" w:lineRule="auto"/>
            </w:pPr>
            <w:r>
              <w:t>0.42  (0.24 - 0.73)</w:t>
            </w:r>
          </w:p>
        </w:tc>
      </w:tr>
      <w:tr w:rsidR="00125DFF">
        <w:tc>
          <w:tcPr>
            <w:tcW w:w="2106" w:type="dxa"/>
          </w:tcPr>
          <w:p w:rsidR="00125DFF" w:rsidRDefault="00125DFF">
            <w:pPr>
              <w:spacing w:after="120" w:line="240" w:lineRule="auto"/>
            </w:pPr>
            <w:r>
              <w:t>Czech</w:t>
            </w:r>
          </w:p>
        </w:tc>
        <w:tc>
          <w:tcPr>
            <w:tcW w:w="2124" w:type="dxa"/>
          </w:tcPr>
          <w:p w:rsidR="00125DFF" w:rsidRDefault="00125DFF">
            <w:pPr>
              <w:spacing w:after="120" w:line="240" w:lineRule="auto"/>
            </w:pPr>
            <w:r>
              <w:t>Case-control</w:t>
            </w:r>
          </w:p>
        </w:tc>
        <w:tc>
          <w:tcPr>
            <w:tcW w:w="2340" w:type="dxa"/>
          </w:tcPr>
          <w:p w:rsidR="00125DFF" w:rsidRDefault="00125DFF">
            <w:pPr>
              <w:spacing w:after="120" w:line="240" w:lineRule="auto"/>
            </w:pPr>
            <w:proofErr w:type="spellStart"/>
            <w:r>
              <w:t>Kubic</w:t>
            </w:r>
            <w:proofErr w:type="spellEnd"/>
            <w:r>
              <w:t xml:space="preserve"> 2008</w:t>
            </w:r>
          </w:p>
        </w:tc>
        <w:tc>
          <w:tcPr>
            <w:tcW w:w="2070" w:type="dxa"/>
          </w:tcPr>
          <w:p w:rsidR="00125DFF" w:rsidRDefault="00125DFF">
            <w:pPr>
              <w:spacing w:after="120" w:line="240" w:lineRule="auto"/>
            </w:pPr>
            <w:r>
              <w:t>1.02  (0.75 – 1.39)</w:t>
            </w:r>
          </w:p>
        </w:tc>
      </w:tr>
      <w:tr w:rsidR="00125DFF">
        <w:tc>
          <w:tcPr>
            <w:tcW w:w="2106" w:type="dxa"/>
          </w:tcPr>
          <w:p w:rsidR="00125DFF" w:rsidRDefault="00125DFF">
            <w:pPr>
              <w:spacing w:after="120" w:line="240" w:lineRule="auto"/>
            </w:pPr>
          </w:p>
        </w:tc>
        <w:tc>
          <w:tcPr>
            <w:tcW w:w="2124" w:type="dxa"/>
          </w:tcPr>
          <w:p w:rsidR="00125DFF" w:rsidRDefault="00125DFF">
            <w:pPr>
              <w:spacing w:after="120" w:line="240" w:lineRule="auto"/>
            </w:pPr>
          </w:p>
        </w:tc>
        <w:tc>
          <w:tcPr>
            <w:tcW w:w="2340" w:type="dxa"/>
          </w:tcPr>
          <w:p w:rsidR="00125DFF" w:rsidRDefault="00125DFF">
            <w:pPr>
              <w:spacing w:after="120" w:line="240" w:lineRule="auto"/>
            </w:pPr>
            <w:r>
              <w:t>summary</w:t>
            </w:r>
          </w:p>
        </w:tc>
        <w:tc>
          <w:tcPr>
            <w:tcW w:w="2070" w:type="dxa"/>
          </w:tcPr>
          <w:p w:rsidR="00125DFF" w:rsidRDefault="00125DFF">
            <w:pPr>
              <w:spacing w:after="120" w:line="240" w:lineRule="auto"/>
            </w:pPr>
            <w:r>
              <w:t>0.86  (0.70 – 1.15)</w:t>
            </w:r>
          </w:p>
        </w:tc>
      </w:tr>
    </w:tbl>
    <w:p w:rsidR="00125DFF" w:rsidRDefault="00125DFF">
      <w:pPr>
        <w:spacing w:after="120" w:line="240" w:lineRule="auto"/>
        <w:rPr>
          <w:rFonts w:ascii="Times New Roman" w:hAnsi="Times New Roman" w:cs="Times New Roman"/>
        </w:rPr>
      </w:pPr>
    </w:p>
    <w:sectPr w:rsidR="00125DFF" w:rsidSect="00125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35381"/>
    <w:multiLevelType w:val="hybridMultilevel"/>
    <w:tmpl w:val="1174F288"/>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compat>
    <w:useFELayout/>
    <w:compatSetting w:name="compatibilityMode" w:uri="http://schemas.microsoft.com/office/word" w:val="12"/>
  </w:compat>
  <w:rsids>
    <w:rsidRoot w:val="00125DFF"/>
    <w:rsid w:val="000B6A9F"/>
    <w:rsid w:val="00125DFF"/>
    <w:rsid w:val="001858AF"/>
    <w:rsid w:val="001D0A12"/>
    <w:rsid w:val="00232661"/>
    <w:rsid w:val="00311E6A"/>
    <w:rsid w:val="00397616"/>
    <w:rsid w:val="003D2D11"/>
    <w:rsid w:val="004C7A66"/>
    <w:rsid w:val="00506F5C"/>
    <w:rsid w:val="006C271E"/>
    <w:rsid w:val="007D3D64"/>
    <w:rsid w:val="00CD4AC3"/>
    <w:rsid w:val="00EE2C71"/>
    <w:rsid w:val="00FB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F635E0C-FB8A-4AD7-84E4-38120B15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C71"/>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E2C71"/>
    <w:rPr>
      <w:rFonts w:ascii="Times New Roman" w:hAnsi="Times New Roman" w:cs="Times New Roman"/>
      <w:color w:val="0000FF"/>
      <w:u w:val="single"/>
    </w:rPr>
  </w:style>
  <w:style w:type="character" w:styleId="FollowedHyperlink">
    <w:name w:val="FollowedHyperlink"/>
    <w:basedOn w:val="DefaultParagraphFont"/>
    <w:uiPriority w:val="99"/>
    <w:rsid w:val="00EE2C71"/>
    <w:rPr>
      <w:rFonts w:ascii="Times New Roman" w:hAnsi="Times New Roman" w:cs="Times New Roman"/>
      <w:color w:val="800080"/>
      <w:u w:val="single"/>
    </w:rPr>
  </w:style>
  <w:style w:type="paragraph" w:styleId="ListParagraph">
    <w:name w:val="List Paragraph"/>
    <w:basedOn w:val="Normal"/>
    <w:uiPriority w:val="99"/>
    <w:qFormat/>
    <w:rsid w:val="00EE2C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BIST 541</vt:lpstr>
    </vt:vector>
  </TitlesOfParts>
  <Company>Microsoft</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 541</dc:title>
  <dc:creator>Chris</dc:creator>
  <cp:lastModifiedBy>George</cp:lastModifiedBy>
  <cp:revision>8</cp:revision>
  <cp:lastPrinted>2015-11-17T19:00:00Z</cp:lastPrinted>
  <dcterms:created xsi:type="dcterms:W3CDTF">2017-11-15T03:32:00Z</dcterms:created>
  <dcterms:modified xsi:type="dcterms:W3CDTF">2019-11-14T13:54:00Z</dcterms:modified>
</cp:coreProperties>
</file>