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E3E03B">
      <w:pPr>
        <w:rPr>
          <w:rFonts w:ascii="Times New Roman" w:hAnsi="Times New Roman" w:cs="Times New Roman"/>
          <w:lang w:val="en-US"/>
        </w:rPr>
      </w:pPr>
      <w:r>
        <w:rPr>
          <w:rFonts w:ascii="Times New Roman" w:hAnsi="Times New Roman" w:cs="Times New Roman"/>
          <w:lang w:val="en-US"/>
        </w:rPr>
        <w:t>Homework for week 2, submission deadline 23:59 on Sunday night.</w:t>
      </w:r>
    </w:p>
    <w:p w14:paraId="018D0E7B">
      <w:pPr>
        <w:pStyle w:val="29"/>
        <w:numPr>
          <w:ilvl w:val="0"/>
          <w:numId w:val="1"/>
        </w:numPr>
        <w:rPr>
          <w:rFonts w:ascii="Times New Roman" w:hAnsi="Times New Roman" w:cs="Times New Roman"/>
          <w:lang w:val="en-US"/>
        </w:rPr>
      </w:pPr>
      <w:r>
        <w:rPr>
          <w:rFonts w:ascii="Times New Roman" w:hAnsi="Times New Roman" w:cs="Times New Roman"/>
          <w:lang w:val="en-US"/>
        </w:rPr>
        <w:t>Choose your own topics from following list or your own.</w:t>
      </w:r>
    </w:p>
    <w:p w14:paraId="321CFB6B">
      <w:pPr>
        <w:numPr>
          <w:ilvl w:val="0"/>
          <w:numId w:val="2"/>
        </w:numPr>
        <w:spacing w:after="0" w:line="240" w:lineRule="auto"/>
        <w:rPr>
          <w:rFonts w:ascii="Times New Roman" w:hAnsi="Times New Roman" w:cs="Times New Roman"/>
        </w:rPr>
      </w:pPr>
      <w:r>
        <w:rPr>
          <w:rFonts w:ascii="Times New Roman" w:hAnsi="Times New Roman" w:cs="Times New Roman"/>
          <w:lang w:val="en-US"/>
        </w:rPr>
        <w:t>Gut microbiota and metabolic disease</w:t>
      </w:r>
    </w:p>
    <w:p w14:paraId="377C5E89">
      <w:pPr>
        <w:numPr>
          <w:ilvl w:val="0"/>
          <w:numId w:val="2"/>
        </w:numPr>
        <w:spacing w:after="0" w:line="240" w:lineRule="auto"/>
        <w:rPr>
          <w:rFonts w:ascii="Times New Roman" w:hAnsi="Times New Roman" w:cs="Times New Roman"/>
        </w:rPr>
      </w:pPr>
      <w:r>
        <w:rPr>
          <w:rFonts w:ascii="Times New Roman" w:hAnsi="Times New Roman" w:cs="Times New Roman"/>
          <w:lang w:val="en-US"/>
        </w:rPr>
        <w:t>Single-cell transcriptomics in cancer immunology</w:t>
      </w:r>
    </w:p>
    <w:p w14:paraId="0D66C5D8">
      <w:pPr>
        <w:numPr>
          <w:ilvl w:val="0"/>
          <w:numId w:val="2"/>
        </w:numPr>
        <w:spacing w:after="0" w:line="240" w:lineRule="auto"/>
        <w:rPr>
          <w:rFonts w:ascii="Times New Roman" w:hAnsi="Times New Roman" w:cs="Times New Roman"/>
        </w:rPr>
      </w:pPr>
      <w:r>
        <w:rPr>
          <w:rFonts w:ascii="Times New Roman" w:hAnsi="Times New Roman" w:cs="Times New Roman"/>
          <w:lang w:val="en-US"/>
        </w:rPr>
        <w:t>Antibiotic resistance genomics</w:t>
      </w:r>
    </w:p>
    <w:p w14:paraId="713CB094">
      <w:pPr>
        <w:numPr>
          <w:ilvl w:val="0"/>
          <w:numId w:val="2"/>
        </w:numPr>
        <w:spacing w:after="0" w:line="240" w:lineRule="auto"/>
        <w:rPr>
          <w:rFonts w:ascii="Times New Roman" w:hAnsi="Times New Roman" w:cs="Times New Roman"/>
        </w:rPr>
      </w:pPr>
      <w:r>
        <w:rPr>
          <w:rFonts w:ascii="Times New Roman" w:hAnsi="Times New Roman" w:cs="Times New Roman"/>
          <w:lang w:val="en-US"/>
        </w:rPr>
        <w:t>Epigenetic regulation in neurological disorders</w:t>
      </w:r>
    </w:p>
    <w:p w14:paraId="3AE89E53">
      <w:pPr>
        <w:numPr>
          <w:ilvl w:val="0"/>
          <w:numId w:val="2"/>
        </w:numPr>
        <w:spacing w:after="0" w:line="240" w:lineRule="auto"/>
        <w:rPr>
          <w:rFonts w:ascii="Times New Roman" w:hAnsi="Times New Roman" w:cs="Times New Roman"/>
        </w:rPr>
      </w:pPr>
      <w:r>
        <w:rPr>
          <w:rFonts w:ascii="Times New Roman" w:hAnsi="Times New Roman" w:cs="Times New Roman"/>
          <w:lang w:val="en-US"/>
        </w:rPr>
        <w:t>Muscle regeneration and aging</w:t>
      </w:r>
    </w:p>
    <w:p w14:paraId="3DEBDE7A">
      <w:pPr>
        <w:numPr>
          <w:ilvl w:val="0"/>
          <w:numId w:val="2"/>
        </w:numPr>
        <w:spacing w:after="0" w:line="240" w:lineRule="auto"/>
        <w:rPr>
          <w:rFonts w:ascii="Times New Roman" w:hAnsi="Times New Roman" w:cs="Times New Roman"/>
        </w:rPr>
      </w:pPr>
      <w:r>
        <w:rPr>
          <w:rFonts w:ascii="Times New Roman" w:hAnsi="Times New Roman" w:cs="Times New Roman"/>
          <w:lang w:val="en-US"/>
        </w:rPr>
        <w:t>Proteomic biomarkers in MAFLD/MASH</w:t>
      </w:r>
    </w:p>
    <w:p w14:paraId="7346DF28">
      <w:pPr>
        <w:spacing w:before="240" w:after="0"/>
        <w:rPr>
          <w:rFonts w:ascii="Times New Roman" w:hAnsi="Times New Roman" w:cs="Times New Roman"/>
          <w:lang w:val="en-US"/>
        </w:rPr>
      </w:pPr>
      <w:r>
        <w:rPr>
          <w:rFonts w:ascii="Times New Roman" w:hAnsi="Times New Roman" w:cs="Times New Roman"/>
          <w:lang w:val="en-US"/>
        </w:rPr>
        <w:t>Finish the following question section we covered in the class</w:t>
      </w:r>
    </w:p>
    <w:p w14:paraId="76931503">
      <w:pPr>
        <w:rPr>
          <w:rFonts w:ascii="Times New Roman" w:hAnsi="Times New Roman" w:cs="Times New Roman"/>
          <w:lang w:val="en-US"/>
        </w:rPr>
      </w:pPr>
      <w:r>
        <w:rPr>
          <w:rFonts w:ascii="Times New Roman" w:hAnsi="Times New Roman" w:cs="Times New Roman"/>
          <w:lang w:val="en-US"/>
        </w:rPr>
        <w:drawing>
          <wp:inline distT="0" distB="0" distL="0" distR="0">
            <wp:extent cx="3317875" cy="2087245"/>
            <wp:effectExtent l="0" t="0" r="0" b="0"/>
            <wp:docPr id="113836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68954" name="Picture 1"/>
                    <pic:cNvPicPr>
                      <a:picLocks noChangeAspect="1"/>
                    </pic:cNvPicPr>
                  </pic:nvPicPr>
                  <pic:blipFill>
                    <a:blip r:embed="rId6"/>
                    <a:stretch>
                      <a:fillRect/>
                    </a:stretch>
                  </pic:blipFill>
                  <pic:spPr>
                    <a:xfrm>
                      <a:off x="0" y="0"/>
                      <a:ext cx="3369786" cy="2119797"/>
                    </a:xfrm>
                    <a:prstGeom prst="rect">
                      <a:avLst/>
                    </a:prstGeom>
                  </pic:spPr>
                </pic:pic>
              </a:graphicData>
            </a:graphic>
          </wp:inline>
        </w:drawing>
      </w:r>
    </w:p>
    <w:p w14:paraId="34B3E39B">
      <w:pPr>
        <w:spacing w:before="240" w:after="0"/>
        <w:rPr>
          <w:rFonts w:ascii="Times New Roman" w:hAnsi="Times New Roman" w:cs="Times New Roman"/>
          <w:lang w:val="en-US"/>
        </w:rPr>
      </w:pPr>
      <w:r>
        <w:rPr>
          <w:rFonts w:ascii="Times New Roman" w:hAnsi="Times New Roman" w:cs="Times New Roman"/>
          <w:lang w:val="en-US"/>
        </w:rPr>
        <w:t>Broad topic：Microalgae-based wastewater treatment.</w:t>
      </w:r>
    </w:p>
    <w:p w14:paraId="355CBEBD">
      <w:pPr>
        <w:spacing w:before="240" w:after="0"/>
        <w:rPr>
          <w:rFonts w:ascii="Times New Roman" w:hAnsi="Times New Roman" w:cs="Times New Roman"/>
          <w:lang w:val="en-US"/>
        </w:rPr>
      </w:pPr>
      <w:r>
        <w:rPr>
          <w:rFonts w:ascii="Times New Roman" w:hAnsi="Times New Roman" w:cs="Times New Roman"/>
          <w:lang w:val="en-US"/>
        </w:rPr>
        <w:t>Phenomenon：A. platensis may grow poorly in diluted dairy farm wastewater when bicarbonate availability and/or alkalinity is inadequate.</w:t>
      </w:r>
    </w:p>
    <w:p w14:paraId="0B533B87">
      <w:pPr>
        <w:spacing w:before="240" w:after="0"/>
        <w:rPr>
          <w:rFonts w:ascii="Times New Roman" w:hAnsi="Times New Roman" w:cs="Times New Roman"/>
          <w:lang w:val="en-US"/>
        </w:rPr>
      </w:pPr>
      <w:r>
        <w:rPr>
          <w:rFonts w:ascii="Times New Roman" w:hAnsi="Times New Roman" w:cs="Times New Roman"/>
          <w:lang w:val="en-US"/>
        </w:rPr>
        <w:t>Research question：Are insufficient bicarbonate availability and/or alkalinity more strongly associated with the poor growth of A. platensis in diluted dairy farm wastewater than insufficient CO₂ supply alone?</w:t>
      </w:r>
    </w:p>
    <w:p w14:paraId="3C56A0F6">
      <w:pPr>
        <w:spacing w:before="240" w:after="0"/>
        <w:rPr>
          <w:rFonts w:ascii="Times New Roman" w:hAnsi="Times New Roman" w:cs="Times New Roman"/>
          <w:lang w:val="en-US"/>
        </w:rPr>
      </w:pPr>
      <w:r>
        <w:rPr>
          <w:rFonts w:ascii="Times New Roman" w:hAnsi="Times New Roman" w:cs="Times New Roman"/>
          <w:lang w:val="en-US"/>
        </w:rPr>
        <w:t>Testable hypothesis：The poor growth of A. platensis in dairy farm wastewater is associated with insufficient bicarbonate availability and/or alkalinity rather than simply insufficient CO₂ supply.</w:t>
      </w:r>
    </w:p>
    <w:p w14:paraId="2A55BDEC">
      <w:pPr>
        <w:spacing w:before="240" w:after="0"/>
        <w:rPr>
          <w:rFonts w:ascii="Times New Roman" w:hAnsi="Times New Roman" w:cs="Times New Roman"/>
          <w:lang w:val="en-US"/>
        </w:rPr>
      </w:pPr>
      <w:r>
        <w:rPr>
          <w:rFonts w:ascii="Times New Roman" w:hAnsi="Times New Roman" w:cs="Times New Roman"/>
          <w:lang w:val="en-US"/>
        </w:rPr>
        <w:t>PICO：</w:t>
      </w:r>
      <w:r>
        <w:rPr>
          <w:rFonts w:ascii="Times New Roman" w:hAnsi="Times New Roman" w:cs="Times New Roman"/>
          <w:lang w:val="en-US"/>
        </w:rPr>
        <w:br w:type="textWrapping"/>
      </w:r>
      <w:r>
        <w:rPr>
          <w:rFonts w:ascii="Times New Roman" w:hAnsi="Times New Roman" w:cs="Times New Roman"/>
          <w:lang w:val="en-US"/>
        </w:rPr>
        <w:t>P</w:t>
      </w:r>
      <w:r>
        <w:rPr>
          <w:rFonts w:hint="eastAsia" w:ascii="Times New Roman" w:hAnsi="Times New Roman" w:cs="Times New Roman"/>
          <w:lang w:val="en-US" w:eastAsia="zh-CN"/>
        </w:rPr>
        <w:t>）</w:t>
      </w:r>
      <w:r>
        <w:rPr>
          <w:rFonts w:ascii="Times New Roman" w:hAnsi="Times New Roman" w:cs="Times New Roman"/>
          <w:lang w:val="en-US"/>
        </w:rPr>
        <w:t xml:space="preserve">: A. platensis cultivated in diluted dairy farm wastewater. </w:t>
      </w:r>
      <w:r>
        <w:rPr>
          <w:rFonts w:ascii="Times New Roman" w:hAnsi="Times New Roman" w:cs="Times New Roman"/>
          <w:lang w:val="en-US"/>
        </w:rPr>
        <w:br w:type="textWrapping"/>
      </w:r>
      <w:r>
        <w:rPr>
          <w:rFonts w:ascii="Times New Roman" w:hAnsi="Times New Roman" w:cs="Times New Roman"/>
          <w:lang w:val="en-US"/>
        </w:rPr>
        <w:t>I</w:t>
      </w:r>
      <w:r>
        <w:rPr>
          <w:rFonts w:hint="eastAsia" w:ascii="Times New Roman" w:hAnsi="Times New Roman" w:cs="Times New Roman"/>
          <w:lang w:val="en-US" w:eastAsia="zh-CN"/>
        </w:rPr>
        <w:t>）</w:t>
      </w:r>
      <w:r>
        <w:rPr>
          <w:rFonts w:ascii="Times New Roman" w:hAnsi="Times New Roman" w:cs="Times New Roman"/>
          <w:lang w:val="en-US"/>
        </w:rPr>
        <w:t>: a 2×2 factorial manipulation of NaHCO₃ supplementation and CO₂ supplementation, producing untreated, NaHCO₃-only, CO₂-only, and combined-treatment groups.</w:t>
      </w:r>
    </w:p>
    <w:p w14:paraId="2895F1A6">
      <w:pPr>
        <w:spacing w:before="240" w:after="0"/>
        <w:rPr>
          <w:rFonts w:ascii="Times New Roman" w:hAnsi="Times New Roman" w:cs="Times New Roman"/>
          <w:lang w:val="en-US"/>
        </w:rPr>
      </w:pPr>
      <w:r>
        <w:rPr>
          <w:rFonts w:ascii="Times New Roman" w:hAnsi="Times New Roman" w:cs="Times New Roman"/>
          <w:lang w:val="en-US"/>
        </w:rPr>
        <w:t xml:space="preserve"> C</w:t>
      </w:r>
      <w:r>
        <w:rPr>
          <w:rFonts w:hint="eastAsia" w:ascii="Times New Roman" w:hAnsi="Times New Roman" w:cs="Times New Roman"/>
          <w:lang w:val="en-US" w:eastAsia="zh-CN"/>
        </w:rPr>
        <w:t>）</w:t>
      </w:r>
      <w:r>
        <w:rPr>
          <w:rFonts w:ascii="Times New Roman" w:hAnsi="Times New Roman" w:cs="Times New Roman"/>
          <w:lang w:val="en-US"/>
        </w:rPr>
        <w:t xml:space="preserve">: the untreated group and the direct comparison between the NaHCO₃-only and CO₂-only groups. </w:t>
      </w:r>
      <w:r>
        <w:rPr>
          <w:rFonts w:ascii="Times New Roman" w:hAnsi="Times New Roman" w:cs="Times New Roman"/>
          <w:lang w:val="en-US"/>
        </w:rPr>
        <w:br w:type="textWrapping"/>
      </w:r>
      <w:r>
        <w:rPr>
          <w:rFonts w:ascii="Times New Roman" w:hAnsi="Times New Roman" w:cs="Times New Roman"/>
          <w:lang w:val="en-US"/>
        </w:rPr>
        <w:t>O</w:t>
      </w:r>
      <w:r>
        <w:rPr>
          <w:rFonts w:hint="eastAsia" w:ascii="Times New Roman" w:hAnsi="Times New Roman" w:cs="Times New Roman"/>
          <w:lang w:val="en-US" w:eastAsia="zh-CN"/>
        </w:rPr>
        <w:t>）</w:t>
      </w:r>
      <w:r>
        <w:rPr>
          <w:rFonts w:ascii="Times New Roman" w:hAnsi="Times New Roman" w:cs="Times New Roman"/>
          <w:lang w:val="en-US"/>
        </w:rPr>
        <w:t>: specific growth rate and volumetric biomass productivity; pH, total alkalinity, dissolved inorganic carbon, and, where feasible, estimated HCO₃⁻/CO₂ composition as supporting measurements.</w:t>
      </w:r>
    </w:p>
    <w:p w14:paraId="70069629">
      <w:pPr>
        <w:spacing w:before="240" w:after="0"/>
        <w:rPr>
          <w:rFonts w:ascii="Times New Roman" w:hAnsi="Times New Roman" w:cs="Times New Roman"/>
          <w:lang w:val="en-US"/>
        </w:rPr>
      </w:pPr>
      <w:r>
        <w:rPr>
          <w:rFonts w:ascii="Times New Roman" w:hAnsi="Times New Roman" w:cs="Times New Roman"/>
          <w:lang w:val="en-US"/>
        </w:rPr>
        <w:t>Dataset/data type：Primary experimental data: repeated measurements of optical density or dry biomass, pH, total alkalinity, dissolved inorganic carbon, treatment-specific CO₂ input, and, where feasible, estimated HCO₃⁻/CO₂ composition.</w:t>
      </w:r>
    </w:p>
    <w:p w14:paraId="0FA7D49E">
      <w:pPr>
        <w:spacing w:before="240" w:after="0"/>
        <w:rPr>
          <w:rFonts w:ascii="Times New Roman" w:hAnsi="Times New Roman" w:cs="Times New Roman"/>
          <w:lang w:val="en-US"/>
        </w:rPr>
      </w:pPr>
      <w:r>
        <w:rPr>
          <w:rFonts w:ascii="Times New Roman" w:hAnsi="Times New Roman" w:cs="Times New Roman"/>
          <w:lang w:val="en-US"/>
        </w:rPr>
        <w:t>Minimal analysis plan：Use at least three independent culture replicates per treatment. Keep inoculum, wastewater dilution, light, temperature, culture volume, baseline aeration, and culture duration constant, and record the CO₂ dose. Plot growth curves, calculate specific growth rate and volumetric biomass productivity, and use two-way ANOVA to test the main effects of NaHCO₃ and CO₂ and their interaction. Use correlation or regression analyses to compare growth with alkalinity, bicarbonate-related measurements, and CO₂ supply.</w:t>
      </w:r>
    </w:p>
    <w:p w14:paraId="76CB4CFE">
      <w:pPr>
        <w:spacing w:before="240" w:after="0"/>
        <w:rPr>
          <w:rFonts w:ascii="Times New Roman" w:hAnsi="Times New Roman" w:cs="Times New Roman"/>
          <w:lang w:val="en-US"/>
        </w:rPr>
      </w:pPr>
    </w:p>
    <w:p w14:paraId="277F2275">
      <w:pPr>
        <w:spacing w:before="240" w:after="0"/>
        <w:rPr>
          <w:rFonts w:ascii="Times New Roman" w:hAnsi="Times New Roman" w:cs="Times New Roman"/>
          <w:lang w:val="en-US"/>
        </w:rPr>
      </w:pPr>
      <w:r>
        <w:rPr>
          <w:rFonts w:ascii="Times New Roman" w:hAnsi="Times New Roman" w:cs="Times New Roman"/>
          <w:lang w:val="en-US"/>
        </w:rPr>
        <w:t>NaHCO₃ changes inorganic carbon, pH, alkalinity, and sodium concentration at the same time. Therefore, this experiment can support or fail to support the association stated in the hypothesis, but it cannot establish a unique causal mechanism by itself. If CO₂ supplementation alone improves growth as much as NaHCO₃ supplementation, the claim that the problem is not simply insufficient CO₂ supply would not be supported. A higher NaHCO₃ level could also inhibit growth through excessive alkalinity, sodium concentration, or osmotic stress.</w:t>
      </w:r>
    </w:p>
    <w:p w14:paraId="6CC92320">
      <w:pPr>
        <w:rPr>
          <w:rFonts w:ascii="Times New Roman" w:hAnsi="Times New Roman" w:cs="Times New Roman"/>
          <w:lang w:val="en-US"/>
        </w:rPr>
      </w:pPr>
    </w:p>
    <w:p w14:paraId="485D037C">
      <w:pPr>
        <w:pStyle w:val="29"/>
        <w:numPr>
          <w:ilvl w:val="0"/>
          <w:numId w:val="1"/>
        </w:numPr>
        <w:rPr>
          <w:rFonts w:ascii="Times New Roman" w:hAnsi="Times New Roman" w:cs="Times New Roman"/>
          <w:lang w:val="en-US"/>
        </w:rPr>
      </w:pPr>
      <w:r>
        <w:rPr>
          <w:rFonts w:ascii="Times New Roman" w:hAnsi="Times New Roman" w:cs="Times New Roman"/>
          <w:lang w:val="en-US"/>
        </w:rPr>
        <w:t>Find and read two research papers in the folder and answer following question based on these two papers.</w:t>
      </w:r>
    </w:p>
    <w:p w14:paraId="31F54224">
      <w:pPr>
        <w:pStyle w:val="29"/>
        <w:numPr>
          <w:ilvl w:val="1"/>
          <w:numId w:val="1"/>
        </w:numPr>
        <w:rPr>
          <w:rFonts w:ascii="Times New Roman" w:hAnsi="Times New Roman" w:cs="Times New Roman"/>
          <w:lang w:val="en-US"/>
        </w:rPr>
      </w:pPr>
      <w:r>
        <w:rPr>
          <w:rFonts w:ascii="Times New Roman" w:hAnsi="Times New Roman" w:cs="Times New Roman"/>
          <w:lang w:val="en-US"/>
        </w:rPr>
        <w:t>Question 1: Use the PICO/PECO, what are they for these two papers?</w:t>
      </w:r>
    </w:p>
    <w:p w14:paraId="35F8D093">
      <w:pPr>
        <w:pStyle w:val="29"/>
        <w:numPr>
          <w:ilvl w:val="1"/>
          <w:numId w:val="1"/>
        </w:numPr>
        <w:rPr>
          <w:rFonts w:ascii="Times New Roman" w:hAnsi="Times New Roman" w:cs="Times New Roman"/>
          <w:lang w:val="en-US"/>
        </w:rPr>
      </w:pPr>
      <w:r>
        <w:rPr>
          <w:rFonts w:ascii="Times New Roman" w:hAnsi="Times New Roman" w:cs="Times New Roman"/>
          <w:lang w:val="en-US"/>
        </w:rPr>
        <w:t>Question 2: What kind of dataset or data type these two papers use?</w:t>
      </w:r>
    </w:p>
    <w:p w14:paraId="757F2A31">
      <w:pPr>
        <w:pStyle w:val="29"/>
        <w:numPr>
          <w:ilvl w:val="1"/>
          <w:numId w:val="1"/>
        </w:numPr>
        <w:rPr>
          <w:rFonts w:ascii="Times New Roman" w:hAnsi="Times New Roman" w:cs="Times New Roman"/>
          <w:lang w:val="en-US"/>
        </w:rPr>
      </w:pPr>
      <w:r>
        <w:rPr>
          <w:rFonts w:ascii="Times New Roman" w:hAnsi="Times New Roman" w:cs="Times New Roman"/>
          <w:lang w:val="en-US"/>
        </w:rPr>
        <w:t>Question 3: What is the hypothesis of these two research?</w:t>
      </w:r>
    </w:p>
    <w:p w14:paraId="46973E67">
      <w:pPr>
        <w:pStyle w:val="12"/>
        <w:keepNext w:val="0"/>
        <w:keepLines w:val="0"/>
        <w:widowControl/>
        <w:suppressLineNumbers w:val="0"/>
        <w:spacing w:before="0" w:beforeAutospacing="1" w:after="0" w:afterAutospacing="1"/>
        <w:ind w:left="0" w:right="0"/>
        <w:rPr>
          <w:rFonts w:ascii="Times New Roman" w:hAnsi="Times New Roman" w:cs="Times New Roman" w:eastAsiaTheme="minorEastAsia"/>
          <w:color w:val="auto"/>
          <w:kern w:val="2"/>
          <w:sz w:val="24"/>
          <w:szCs w:val="24"/>
          <w:lang w:val="en-US" w:eastAsia="zh-CN" w:bidi="ar-SA"/>
          <w14:ligatures w14:val="standardContextual"/>
        </w:rPr>
      </w:pPr>
      <w:r>
        <w:rPr>
          <w:rFonts w:ascii="Times New Roman" w:hAnsi="Times New Roman" w:cs="Times New Roman" w:eastAsiaTheme="minorEastAsia"/>
          <w:color w:val="auto"/>
          <w:kern w:val="2"/>
          <w:sz w:val="24"/>
          <w:szCs w:val="24"/>
          <w:lang w:val="en-US" w:eastAsia="zh-CN" w:bidi="ar-SA"/>
          <w14:ligatures w14:val="standardContextual"/>
        </w:rPr>
        <w:t>Paper 1: Priya et al. (2022)</w:t>
      </w:r>
    </w:p>
    <w:p w14:paraId="5BCA7080">
      <w:pPr>
        <w:pStyle w:val="12"/>
        <w:keepNext w:val="0"/>
        <w:keepLines w:val="0"/>
        <w:widowControl/>
        <w:suppressLineNumbers w:val="0"/>
        <w:spacing w:before="0" w:beforeAutospacing="1" w:after="0" w:afterAutospacing="1"/>
        <w:ind w:left="0" w:right="0"/>
        <w:rPr>
          <w:rFonts w:ascii="Times New Roman" w:hAnsi="Times New Roman" w:cs="Times New Roman" w:eastAsiaTheme="minorEastAsia"/>
          <w:color w:val="auto"/>
          <w:kern w:val="2"/>
          <w:sz w:val="24"/>
          <w:szCs w:val="24"/>
          <w:lang w:val="en-US" w:eastAsia="zh-CN" w:bidi="ar-SA"/>
          <w14:ligatures w14:val="standardContextual"/>
        </w:rPr>
      </w:pPr>
      <w:r>
        <w:rPr>
          <w:rFonts w:ascii="Times New Roman" w:hAnsi="Times New Roman" w:cs="Times New Roman" w:eastAsiaTheme="minorEastAsia"/>
          <w:color w:val="auto"/>
          <w:kern w:val="2"/>
          <w:sz w:val="24"/>
          <w:szCs w:val="24"/>
          <w:lang w:val="en-US" w:eastAsia="zh-CN" w:bidi="ar-SA"/>
          <w14:ligatures w14:val="standardContextual"/>
        </w:rPr>
        <w:t>a). PICO/PECO:</w:t>
      </w:r>
      <w:r>
        <w:rPr>
          <w:rFonts w:ascii="Times New Roman" w:hAnsi="Times New Roman" w:cs="Times New Roman" w:eastAsiaTheme="minorEastAsia"/>
          <w:color w:val="auto"/>
          <w:kern w:val="2"/>
          <w:sz w:val="24"/>
          <w:szCs w:val="24"/>
          <w:lang w:val="en-US" w:eastAsia="zh-CN" w:bidi="ar-SA"/>
          <w14:ligatures w14:val="standardContextual"/>
        </w:rPr>
        <w:br w:type="textWrapping"/>
      </w:r>
      <w:r>
        <w:rPr>
          <w:rFonts w:ascii="Times New Roman" w:hAnsi="Times New Roman" w:cs="Times New Roman" w:eastAsiaTheme="minorEastAsia"/>
          <w:color w:val="auto"/>
          <w:kern w:val="2"/>
          <w:sz w:val="24"/>
          <w:szCs w:val="24"/>
          <w:lang w:val="en-US" w:eastAsia="zh-CN" w:bidi="ar-SA"/>
          <w14:ligatures w14:val="standardContextual"/>
        </w:rPr>
        <w:t>Population: Individuals from colorectal cancer (CRC), inflammatory bowel disease (IBD), and irritable bowel syndrome (IBS) cohorts, with paired colonic mucosal host transcriptomic and microbiome data.</w:t>
      </w:r>
      <w:r>
        <w:rPr>
          <w:rFonts w:ascii="Times New Roman" w:hAnsi="Times New Roman" w:cs="Times New Roman" w:eastAsiaTheme="minorEastAsia"/>
          <w:color w:val="auto"/>
          <w:kern w:val="2"/>
          <w:sz w:val="24"/>
          <w:szCs w:val="24"/>
          <w:lang w:val="en-US" w:eastAsia="zh-CN" w:bidi="ar-SA"/>
          <w14:ligatures w14:val="standardContextual"/>
        </w:rPr>
        <w:br w:type="textWrapping"/>
      </w:r>
      <w:r>
        <w:rPr>
          <w:rFonts w:ascii="Times New Roman" w:hAnsi="Times New Roman" w:cs="Times New Roman" w:eastAsiaTheme="minorEastAsia"/>
          <w:color w:val="auto"/>
          <w:kern w:val="2"/>
          <w:sz w:val="24"/>
          <w:szCs w:val="24"/>
          <w:lang w:val="en-US" w:eastAsia="zh-CN" w:bidi="ar-SA"/>
          <w14:ligatures w14:val="standardContextual"/>
        </w:rPr>
        <w:t>Exposure: Disease status (CRC, IBD, or IBS).</w:t>
      </w:r>
      <w:r>
        <w:rPr>
          <w:rFonts w:ascii="Times New Roman" w:hAnsi="Times New Roman" w:cs="Times New Roman" w:eastAsiaTheme="minorEastAsia"/>
          <w:color w:val="auto"/>
          <w:kern w:val="2"/>
          <w:sz w:val="24"/>
          <w:szCs w:val="24"/>
          <w:lang w:val="en-US" w:eastAsia="zh-CN" w:bidi="ar-SA"/>
          <w14:ligatures w14:val="standardContextual"/>
        </w:rPr>
        <w:br w:type="textWrapping"/>
      </w:r>
      <w:r>
        <w:rPr>
          <w:rFonts w:ascii="Times New Roman" w:hAnsi="Times New Roman" w:cs="Times New Roman" w:eastAsiaTheme="minorEastAsia"/>
          <w:color w:val="auto"/>
          <w:kern w:val="2"/>
          <w:sz w:val="24"/>
          <w:szCs w:val="24"/>
          <w:lang w:val="en-US" w:eastAsia="zh-CN" w:bidi="ar-SA"/>
          <w14:ligatures w14:val="standardContextual"/>
        </w:rPr>
        <w:t>Comparator: Corresponding non-disease or control samples within each disease cohort.</w:t>
      </w:r>
      <w:r>
        <w:rPr>
          <w:rFonts w:ascii="Times New Roman" w:hAnsi="Times New Roman" w:cs="Times New Roman" w:eastAsiaTheme="minorEastAsia"/>
          <w:color w:val="auto"/>
          <w:kern w:val="2"/>
          <w:sz w:val="24"/>
          <w:szCs w:val="24"/>
          <w:lang w:val="en-US" w:eastAsia="zh-CN" w:bidi="ar-SA"/>
          <w14:ligatures w14:val="standardContextual"/>
        </w:rPr>
        <w:br w:type="textWrapping"/>
      </w:r>
      <w:r>
        <w:rPr>
          <w:rFonts w:ascii="Times New Roman" w:hAnsi="Times New Roman" w:cs="Times New Roman" w:eastAsiaTheme="minorEastAsia"/>
          <w:color w:val="auto"/>
          <w:kern w:val="2"/>
          <w:sz w:val="24"/>
          <w:szCs w:val="24"/>
          <w:lang w:val="en-US" w:eastAsia="zh-CN" w:bidi="ar-SA"/>
          <w14:ligatures w14:val="standardContextual"/>
        </w:rPr>
        <w:t>Outcome: Shared and disease-specific associations between gut microbial taxa and host gene expression/pathways.</w:t>
      </w:r>
      <w:r>
        <w:rPr>
          <w:rFonts w:ascii="Times New Roman" w:hAnsi="Times New Roman" w:cs="Times New Roman" w:eastAsiaTheme="minorEastAsia"/>
          <w:color w:val="auto"/>
          <w:kern w:val="2"/>
          <w:sz w:val="24"/>
          <w:szCs w:val="24"/>
          <w:lang w:val="en-US" w:eastAsia="zh-CN" w:bidi="ar-SA"/>
          <w14:ligatures w14:val="standardContextual"/>
        </w:rPr>
        <w:br w:type="textWrapping"/>
      </w:r>
      <w:r>
        <w:rPr>
          <w:rFonts w:ascii="Times New Roman" w:hAnsi="Times New Roman" w:cs="Times New Roman" w:eastAsiaTheme="minorEastAsia"/>
          <w:color w:val="auto"/>
          <w:kern w:val="2"/>
          <w:sz w:val="24"/>
          <w:szCs w:val="24"/>
          <w:lang w:val="en-US" w:eastAsia="zh-CN" w:bidi="ar-SA"/>
          <w14:ligatures w14:val="standardContextual"/>
        </w:rPr>
        <w:t>PECO is more appropriate than PICO because disease status was observed rather than experimentally assigned.</w:t>
      </w:r>
    </w:p>
    <w:p w14:paraId="7F3586B9">
      <w:pPr>
        <w:pStyle w:val="12"/>
        <w:keepNext w:val="0"/>
        <w:keepLines w:val="0"/>
        <w:widowControl/>
        <w:suppressLineNumbers w:val="0"/>
        <w:spacing w:before="0" w:beforeAutospacing="1" w:after="0" w:afterAutospacing="1"/>
        <w:ind w:left="0" w:right="0"/>
        <w:rPr>
          <w:rFonts w:ascii="Times New Roman" w:hAnsi="Times New Roman" w:cs="Times New Roman" w:eastAsiaTheme="minorEastAsia"/>
          <w:color w:val="auto"/>
          <w:kern w:val="2"/>
          <w:sz w:val="24"/>
          <w:szCs w:val="24"/>
          <w:lang w:val="en-US" w:eastAsia="zh-CN" w:bidi="ar-SA"/>
          <w14:ligatures w14:val="standardContextual"/>
        </w:rPr>
      </w:pPr>
      <w:r>
        <w:rPr>
          <w:rFonts w:ascii="Times New Roman" w:hAnsi="Times New Roman" w:cs="Times New Roman" w:eastAsiaTheme="minorEastAsia"/>
          <w:color w:val="auto"/>
          <w:kern w:val="2"/>
          <w:sz w:val="24"/>
          <w:szCs w:val="24"/>
          <w:lang w:val="en-US" w:eastAsia="zh-CN" w:bidi="ar-SA"/>
          <w14:ligatures w14:val="standardContextual"/>
        </w:rPr>
        <w:t>b). Dataset/data type:Paired host transcriptomic (RNA-seq) and gut microbiome (16S rRNA sequencing) data from colonic mucosal samples across CRC, IBD, and IBS cohorts. The study included 208 paired host transcriptomic and microbiome samples: 88 pairs in the CRC cohort (44 tumor and 44 patient-matched normal samples), 78 pairs in the IBD cohort (56 patients and 22 controls), and 42 pairs in the IBS cohort (29 patients and 13 controls).</w:t>
      </w:r>
    </w:p>
    <w:p w14:paraId="50369F60">
      <w:pPr>
        <w:pStyle w:val="12"/>
        <w:keepNext w:val="0"/>
        <w:keepLines w:val="0"/>
        <w:widowControl/>
        <w:suppressLineNumbers w:val="0"/>
        <w:spacing w:before="0" w:beforeAutospacing="1" w:after="0" w:afterAutospacing="1"/>
        <w:ind w:left="0" w:right="0"/>
        <w:rPr>
          <w:rFonts w:ascii="Times New Roman" w:hAnsi="Times New Roman" w:cs="Times New Roman" w:eastAsiaTheme="minorEastAsia"/>
          <w:color w:val="auto"/>
          <w:kern w:val="2"/>
          <w:sz w:val="24"/>
          <w:szCs w:val="24"/>
          <w:lang w:val="en-US" w:eastAsia="zh-CN" w:bidi="ar-SA"/>
          <w14:ligatures w14:val="standardContextual"/>
        </w:rPr>
      </w:pPr>
      <w:r>
        <w:rPr>
          <w:rFonts w:ascii="Times New Roman" w:hAnsi="Times New Roman" w:cs="Times New Roman" w:eastAsiaTheme="minorEastAsia"/>
          <w:color w:val="auto"/>
          <w:kern w:val="2"/>
          <w:sz w:val="24"/>
          <w:szCs w:val="24"/>
          <w:lang w:val="en-US" w:eastAsia="zh-CN" w:bidi="ar-SA"/>
          <w14:ligatures w14:val="standardContextual"/>
        </w:rPr>
        <w:t>c). Hypothesis:Explicit hypothesis: Host genes and gut microbial taxa involved in common biological functions act in a coordinated manner and therefore show correlated gene-expression and microbial-abundance patterns. The study further investigates whether these host gene–microbiome associations are shared across CRC, IBD, and IBS or are disease-specific.</w:t>
      </w:r>
    </w:p>
    <w:p w14:paraId="02C1A682">
      <w:pPr>
        <w:rPr>
          <w:rFonts w:ascii="Times New Roman" w:hAnsi="Times New Roman" w:cs="Times New Roman" w:eastAsiaTheme="minorEastAsia"/>
          <w:color w:val="auto"/>
          <w:kern w:val="2"/>
          <w:sz w:val="24"/>
          <w:szCs w:val="24"/>
          <w:lang w:val="en-US" w:eastAsia="zh-CN" w:bidi="ar-SA"/>
          <w14:ligatures w14:val="standardContextual"/>
        </w:rPr>
      </w:pPr>
    </w:p>
    <w:p w14:paraId="735F7B05">
      <w:pPr>
        <w:pStyle w:val="2"/>
        <w:rPr>
          <w:rFonts w:ascii="Times New Roman" w:hAnsi="Times New Roman" w:cs="Times New Roman" w:eastAsiaTheme="minorEastAsia"/>
          <w:color w:val="auto"/>
          <w:kern w:val="2"/>
          <w:sz w:val="24"/>
          <w:szCs w:val="24"/>
          <w:lang w:val="en-US" w:eastAsia="zh-CN" w:bidi="ar-SA"/>
          <w14:ligatures w14:val="standardContextual"/>
        </w:rPr>
      </w:pPr>
      <w:r>
        <w:rPr>
          <w:rFonts w:ascii="Times New Roman" w:hAnsi="Times New Roman" w:cs="Times New Roman" w:eastAsiaTheme="minorEastAsia"/>
          <w:color w:val="auto"/>
          <w:kern w:val="2"/>
          <w:sz w:val="24"/>
          <w:szCs w:val="24"/>
          <w:lang w:val="en-US" w:eastAsia="zh-CN" w:bidi="ar-SA"/>
          <w14:ligatures w14:val="standardContextual"/>
        </w:rPr>
        <w:t>Paper 2: Huang et al. (2023)</w:t>
      </w:r>
    </w:p>
    <w:p w14:paraId="024D25D9">
      <w:pPr>
        <w:pStyle w:val="12"/>
        <w:keepNext w:val="0"/>
        <w:keepLines w:val="0"/>
        <w:widowControl/>
        <w:suppressLineNumbers w:val="0"/>
        <w:spacing w:before="0" w:beforeAutospacing="1" w:after="0" w:afterAutospacing="1"/>
        <w:ind w:left="0" w:right="0"/>
        <w:rPr>
          <w:rFonts w:ascii="Times New Roman" w:hAnsi="Times New Roman" w:cs="Times New Roman" w:eastAsiaTheme="minorEastAsia"/>
          <w:color w:val="auto"/>
          <w:kern w:val="2"/>
          <w:sz w:val="24"/>
          <w:szCs w:val="24"/>
          <w:lang w:val="en-US" w:eastAsia="zh-CN" w:bidi="ar-SA"/>
          <w14:ligatures w14:val="standardContextual"/>
        </w:rPr>
      </w:pPr>
      <w:r>
        <w:rPr>
          <w:rFonts w:ascii="Times New Roman" w:hAnsi="Times New Roman" w:cs="Times New Roman" w:eastAsiaTheme="minorEastAsia"/>
          <w:color w:val="auto"/>
          <w:kern w:val="2"/>
          <w:sz w:val="24"/>
          <w:szCs w:val="24"/>
          <w:lang w:val="en-US" w:eastAsia="zh-CN" w:bidi="ar-SA"/>
          <w14:ligatures w14:val="standardContextual"/>
        </w:rPr>
        <w:t>a). PICO/PECO:</w:t>
      </w:r>
      <w:r>
        <w:rPr>
          <w:rFonts w:ascii="Times New Roman" w:hAnsi="Times New Roman" w:cs="Times New Roman" w:eastAsiaTheme="minorEastAsia"/>
          <w:color w:val="auto"/>
          <w:kern w:val="2"/>
          <w:sz w:val="24"/>
          <w:szCs w:val="24"/>
          <w:lang w:val="en-US" w:eastAsia="zh-CN" w:bidi="ar-SA"/>
          <w14:ligatures w14:val="standardContextual"/>
        </w:rPr>
        <w:br w:type="textWrapping"/>
      </w:r>
      <w:r>
        <w:rPr>
          <w:rFonts w:ascii="Times New Roman" w:hAnsi="Times New Roman" w:cs="Times New Roman" w:eastAsiaTheme="minorEastAsia"/>
          <w:color w:val="auto"/>
          <w:kern w:val="2"/>
          <w:sz w:val="24"/>
          <w:szCs w:val="24"/>
          <w:lang w:val="en-US" w:eastAsia="zh-CN" w:bidi="ar-SA"/>
          <w14:ligatures w14:val="standardContextual"/>
        </w:rPr>
        <w:t>Population: Infants during the first months of life.</w:t>
      </w:r>
      <w:r>
        <w:rPr>
          <w:rFonts w:ascii="Times New Roman" w:hAnsi="Times New Roman" w:cs="Times New Roman" w:eastAsiaTheme="minorEastAsia"/>
          <w:color w:val="auto"/>
          <w:kern w:val="2"/>
          <w:sz w:val="24"/>
          <w:szCs w:val="24"/>
          <w:lang w:val="en-US" w:eastAsia="zh-CN" w:bidi="ar-SA"/>
          <w14:ligatures w14:val="standardContextual"/>
        </w:rPr>
        <w:br w:type="textWrapping"/>
      </w:r>
      <w:r>
        <w:rPr>
          <w:rFonts w:ascii="Times New Roman" w:hAnsi="Times New Roman" w:cs="Times New Roman" w:eastAsiaTheme="minorEastAsia"/>
          <w:color w:val="auto"/>
          <w:kern w:val="2"/>
          <w:sz w:val="24"/>
          <w:szCs w:val="24"/>
          <w:lang w:val="en-US" w:eastAsia="zh-CN" w:bidi="ar-SA"/>
          <w14:ligatures w14:val="standardContextual"/>
        </w:rPr>
        <w:t>Exposure: Development of infantile eczema by 6 months of age.</w:t>
      </w:r>
      <w:r>
        <w:rPr>
          <w:rFonts w:ascii="Times New Roman" w:hAnsi="Times New Roman" w:cs="Times New Roman" w:eastAsiaTheme="minorEastAsia"/>
          <w:color w:val="auto"/>
          <w:kern w:val="2"/>
          <w:sz w:val="24"/>
          <w:szCs w:val="24"/>
          <w:lang w:val="en-US" w:eastAsia="zh-CN" w:bidi="ar-SA"/>
          <w14:ligatures w14:val="standardContextual"/>
        </w:rPr>
        <w:br w:type="textWrapping"/>
      </w:r>
      <w:r>
        <w:rPr>
          <w:rFonts w:ascii="Times New Roman" w:hAnsi="Times New Roman" w:cs="Times New Roman" w:eastAsiaTheme="minorEastAsia"/>
          <w:color w:val="auto"/>
          <w:kern w:val="2"/>
          <w:sz w:val="24"/>
          <w:szCs w:val="24"/>
          <w:lang w:val="en-US" w:eastAsia="zh-CN" w:bidi="ar-SA"/>
          <w14:ligatures w14:val="standardContextual"/>
        </w:rPr>
        <w:t>Comparator: Infants without eczema.</w:t>
      </w:r>
      <w:r>
        <w:rPr>
          <w:rFonts w:ascii="Times New Roman" w:hAnsi="Times New Roman" w:cs="Times New Roman" w:eastAsiaTheme="minorEastAsia"/>
          <w:color w:val="auto"/>
          <w:kern w:val="2"/>
          <w:sz w:val="24"/>
          <w:szCs w:val="24"/>
          <w:lang w:val="en-US" w:eastAsia="zh-CN" w:bidi="ar-SA"/>
          <w14:ligatures w14:val="standardContextual"/>
        </w:rPr>
        <w:br w:type="textWrapping"/>
      </w:r>
      <w:r>
        <w:rPr>
          <w:rFonts w:ascii="Times New Roman" w:hAnsi="Times New Roman" w:cs="Times New Roman" w:eastAsiaTheme="minorEastAsia"/>
          <w:color w:val="auto"/>
          <w:kern w:val="2"/>
          <w:sz w:val="24"/>
          <w:szCs w:val="24"/>
          <w:lang w:val="en-US" w:eastAsia="zh-CN" w:bidi="ar-SA"/>
          <w14:ligatures w14:val="standardContextual"/>
        </w:rPr>
        <w:t>Outcome: Differences in early gut microbial colonization, microbial diversity, composition, and microbial network structure during the first 100 days of life.</w:t>
      </w:r>
      <w:r>
        <w:rPr>
          <w:rFonts w:ascii="Times New Roman" w:hAnsi="Times New Roman" w:cs="Times New Roman" w:eastAsiaTheme="minorEastAsia"/>
          <w:color w:val="auto"/>
          <w:kern w:val="2"/>
          <w:sz w:val="24"/>
          <w:szCs w:val="24"/>
          <w:lang w:val="en-US" w:eastAsia="zh-CN" w:bidi="ar-SA"/>
          <w14:ligatures w14:val="standardContextual"/>
        </w:rPr>
        <w:br w:type="textWrapping"/>
      </w:r>
      <w:r>
        <w:rPr>
          <w:rFonts w:ascii="Times New Roman" w:hAnsi="Times New Roman" w:cs="Times New Roman" w:eastAsiaTheme="minorEastAsia"/>
          <w:color w:val="auto"/>
          <w:kern w:val="2"/>
          <w:sz w:val="24"/>
          <w:szCs w:val="24"/>
          <w:lang w:val="en-US" w:eastAsia="zh-CN" w:bidi="ar-SA"/>
          <w14:ligatures w14:val="standardContextual"/>
        </w:rPr>
        <w:t>PECO is more appropriate than PICO because eczema status was observed rather than experimentally assigned.</w:t>
      </w:r>
    </w:p>
    <w:p w14:paraId="5A3805FC">
      <w:pPr>
        <w:pStyle w:val="12"/>
        <w:keepNext w:val="0"/>
        <w:keepLines w:val="0"/>
        <w:widowControl/>
        <w:suppressLineNumbers w:val="0"/>
        <w:spacing w:before="0" w:beforeAutospacing="1" w:after="0" w:afterAutospacing="1"/>
        <w:ind w:left="0" w:right="0"/>
        <w:rPr>
          <w:rFonts w:ascii="Times New Roman" w:hAnsi="Times New Roman" w:cs="Times New Roman" w:eastAsiaTheme="minorEastAsia"/>
          <w:color w:val="auto"/>
          <w:kern w:val="2"/>
          <w:sz w:val="24"/>
          <w:szCs w:val="24"/>
          <w:lang w:val="en-US" w:eastAsia="zh-CN" w:bidi="ar-SA"/>
          <w14:ligatures w14:val="standardContextual"/>
        </w:rPr>
      </w:pPr>
      <w:r>
        <w:rPr>
          <w:rFonts w:ascii="Times New Roman" w:hAnsi="Times New Roman" w:cs="Times New Roman" w:eastAsiaTheme="minorEastAsia"/>
          <w:color w:val="auto"/>
          <w:kern w:val="2"/>
          <w:sz w:val="24"/>
          <w:szCs w:val="24"/>
          <w:lang w:val="en-US" w:eastAsia="zh-CN" w:bidi="ar-SA"/>
          <w14:ligatures w14:val="standardContextual"/>
        </w:rPr>
        <w:t xml:space="preserve">Dataset/data type:Longitudinal 16S rRNA gene amplicon sequencing data from infant fecal samples collected at birth and at 1, 2, and 3 months of age. The main analysis included 34 infants (22 controls and 12 infants with eczema). Independent longitudinal datasets from Swedish and Danish cohorts were additionally used to examine microbial-network patterns in healthy infants. </w:t>
      </w:r>
    </w:p>
    <w:p w14:paraId="4F5902EF">
      <w:pPr>
        <w:pStyle w:val="12"/>
        <w:keepNext w:val="0"/>
        <w:keepLines w:val="0"/>
        <w:widowControl/>
        <w:suppressLineNumbers w:val="0"/>
        <w:spacing w:before="0" w:beforeAutospacing="1" w:after="0" w:afterAutospacing="1"/>
        <w:ind w:left="0" w:right="0"/>
        <w:rPr>
          <w:rFonts w:ascii="Times New Roman" w:hAnsi="Times New Roman" w:cs="Times New Roman" w:eastAsiaTheme="minorEastAsia"/>
          <w:color w:val="auto"/>
          <w:kern w:val="2"/>
          <w:sz w:val="24"/>
          <w:szCs w:val="24"/>
          <w:lang w:val="en-US" w:eastAsia="zh-CN" w:bidi="ar-SA"/>
          <w14:ligatures w14:val="standardContextual"/>
        </w:rPr>
      </w:pPr>
      <w:r>
        <w:rPr>
          <w:rFonts w:ascii="Times New Roman" w:hAnsi="Times New Roman" w:cs="Times New Roman" w:eastAsiaTheme="minorEastAsia"/>
          <w:color w:val="auto"/>
          <w:kern w:val="2"/>
          <w:sz w:val="24"/>
          <w:szCs w:val="24"/>
          <w:lang w:val="en-US" w:eastAsia="zh-CN" w:bidi="ar-SA"/>
          <w14:ligatures w14:val="standardContextual"/>
        </w:rPr>
        <w:t>Hypothesis:Infants who develop eczema have different early-life gut microbial succession and microbial-network dynamics compared with healthy infants. In particular, healthy infants are expected to show a more regular increase in microbial-network complexity during early development, whereas this pattern may be disrupted in infants who develop eczema.</w:t>
      </w:r>
    </w:p>
    <w:p w14:paraId="76961702">
      <w:pPr>
        <w:pStyle w:val="29"/>
        <w:ind w:left="360"/>
        <w:rPr>
          <w:rFonts w:ascii="Times New Roman" w:hAnsi="Times New Roman" w:cs="Times New Roman"/>
          <w:lang w:val="en-US"/>
        </w:rPr>
      </w:pPr>
    </w:p>
    <w:p w14:paraId="71987D37">
      <w:pPr>
        <w:pStyle w:val="29"/>
        <w:ind w:left="360"/>
        <w:rPr>
          <w:rFonts w:ascii="Times New Roman" w:hAnsi="Times New Roman" w:cs="Times New Roman"/>
          <w:lang w:val="en-US"/>
        </w:rPr>
      </w:pPr>
    </w:p>
    <w:p w14:paraId="12F7464B">
      <w:pPr>
        <w:pStyle w:val="29"/>
        <w:ind w:left="360"/>
        <w:rPr>
          <w:rFonts w:ascii="Times New Roman" w:hAnsi="Times New Roman" w:cs="Times New Roman"/>
          <w:lang w:val="en-US"/>
        </w:rPr>
      </w:pPr>
    </w:p>
    <w:p w14:paraId="78717F28">
      <w:pPr>
        <w:pStyle w:val="29"/>
        <w:numPr>
          <w:ilvl w:val="0"/>
          <w:numId w:val="1"/>
        </w:numPr>
        <w:rPr>
          <w:rFonts w:ascii="Times New Roman" w:hAnsi="Times New Roman" w:cs="Times New Roman"/>
          <w:lang w:val="en-US"/>
        </w:rPr>
      </w:pPr>
      <w:r>
        <w:rPr>
          <w:rFonts w:ascii="Times New Roman" w:hAnsi="Times New Roman" w:cs="Times New Roman"/>
          <w:lang w:val="en-US"/>
        </w:rPr>
        <w:t>Based on your research interest, refine the search in PUBMED, and sort, identify the latest and the most important studies in your field. Read this paper and answer three question</w:t>
      </w:r>
      <w:r>
        <w:rPr>
          <w:rFonts w:hint="eastAsia" w:ascii="Times New Roman" w:hAnsi="Times New Roman" w:cs="Times New Roman"/>
          <w:lang w:val="en-US"/>
        </w:rPr>
        <w:t>s</w:t>
      </w:r>
      <w:r>
        <w:rPr>
          <w:rFonts w:ascii="Times New Roman" w:hAnsi="Times New Roman" w:cs="Times New Roman"/>
          <w:lang w:val="en-US"/>
        </w:rPr>
        <w:t>:</w:t>
      </w:r>
    </w:p>
    <w:p w14:paraId="2A64674E">
      <w:pPr>
        <w:pStyle w:val="29"/>
        <w:numPr>
          <w:ilvl w:val="1"/>
          <w:numId w:val="1"/>
        </w:numPr>
        <w:rPr>
          <w:rFonts w:ascii="Times New Roman" w:hAnsi="Times New Roman" w:cs="Times New Roman"/>
          <w:lang w:val="en-US"/>
        </w:rPr>
      </w:pPr>
      <w:r>
        <w:rPr>
          <w:rFonts w:ascii="Times New Roman" w:hAnsi="Times New Roman" w:cs="Times New Roman"/>
          <w:lang w:val="en-US"/>
        </w:rPr>
        <w:t>Question 1: Use the PICO/PECO, what are they for these two papers?</w:t>
      </w:r>
    </w:p>
    <w:p w14:paraId="04005788">
      <w:pPr>
        <w:pStyle w:val="29"/>
        <w:numPr>
          <w:ilvl w:val="1"/>
          <w:numId w:val="1"/>
        </w:numPr>
        <w:rPr>
          <w:rFonts w:ascii="Times New Roman" w:hAnsi="Times New Roman" w:cs="Times New Roman"/>
          <w:lang w:val="en-US"/>
        </w:rPr>
      </w:pPr>
      <w:r>
        <w:rPr>
          <w:rFonts w:ascii="Times New Roman" w:hAnsi="Times New Roman" w:cs="Times New Roman"/>
          <w:lang w:val="en-US"/>
        </w:rPr>
        <w:t>Question 2: What kind of dataset or data type these two papers use?</w:t>
      </w:r>
    </w:p>
    <w:p w14:paraId="5459DCAF">
      <w:pPr>
        <w:pStyle w:val="29"/>
        <w:numPr>
          <w:ilvl w:val="1"/>
          <w:numId w:val="1"/>
        </w:numPr>
        <w:rPr>
          <w:rFonts w:ascii="Times New Roman" w:hAnsi="Times New Roman" w:cs="Times New Roman"/>
          <w:lang w:val="en-US"/>
        </w:rPr>
      </w:pPr>
      <w:r>
        <w:rPr>
          <w:rFonts w:ascii="Times New Roman" w:hAnsi="Times New Roman" w:cs="Times New Roman"/>
          <w:lang w:val="en-US"/>
        </w:rPr>
        <w:t>Question 3: What is the hypothesis of these two research?</w:t>
      </w:r>
    </w:p>
    <w:p w14:paraId="76D139FA">
      <w:pPr>
        <w:pStyle w:val="29"/>
        <w:ind w:left="360"/>
        <w:rPr>
          <w:rFonts w:ascii="Times New Roman" w:hAnsi="Times New Roman" w:cs="Times New Roman"/>
          <w:lang w:val="en-US"/>
        </w:rPr>
      </w:pPr>
    </w:p>
    <w:p w14:paraId="559DEC03">
      <w:pPr>
        <w:pStyle w:val="3"/>
        <w:keepNext w:val="0"/>
        <w:keepLines w:val="0"/>
        <w:widowControl/>
        <w:suppressLineNumbers w:val="0"/>
        <w:rPr>
          <w:rFonts w:ascii="Times New Roman" w:hAnsi="Times New Roman" w:cs="Times New Roman" w:eastAsiaTheme="minorEastAsia"/>
          <w:color w:val="auto"/>
          <w:kern w:val="2"/>
          <w:sz w:val="24"/>
          <w:szCs w:val="24"/>
          <w:lang w:val="en-US" w:eastAsia="zh-CN" w:bidi="ar-SA"/>
          <w14:ligatures w14:val="standardContextual"/>
        </w:rPr>
      </w:pPr>
      <w:r>
        <w:rPr>
          <w:rFonts w:ascii="Times New Roman" w:hAnsi="Times New Roman" w:cs="Times New Roman" w:eastAsiaTheme="minorEastAsia"/>
          <w:color w:val="auto"/>
          <w:kern w:val="2"/>
          <w:sz w:val="24"/>
          <w:szCs w:val="24"/>
          <w:lang w:val="en-US" w:eastAsia="zh-CN" w:bidi="ar-SA"/>
          <w14:ligatures w14:val="standardContextual"/>
        </w:rPr>
        <w:t>Paper 1: Liang et al. (2023)</w:t>
      </w:r>
    </w:p>
    <w:p w14:paraId="57681201">
      <w:pPr>
        <w:pStyle w:val="12"/>
        <w:keepNext w:val="0"/>
        <w:keepLines w:val="0"/>
        <w:widowControl/>
        <w:suppressLineNumbers w:val="0"/>
        <w:spacing w:before="0" w:beforeAutospacing="1" w:after="0" w:afterAutospacing="1"/>
        <w:ind w:left="0" w:right="0"/>
        <w:rPr>
          <w:rFonts w:ascii="Times New Roman" w:hAnsi="Times New Roman" w:cs="Times New Roman" w:eastAsiaTheme="minorEastAsia"/>
          <w:color w:val="auto"/>
          <w:kern w:val="2"/>
          <w:sz w:val="24"/>
          <w:szCs w:val="24"/>
          <w:lang w:val="en-US" w:eastAsia="zh-CN" w:bidi="ar-SA"/>
          <w14:ligatures w14:val="standardContextual"/>
        </w:rPr>
      </w:pPr>
      <w:r>
        <w:rPr>
          <w:rFonts w:ascii="Times New Roman" w:hAnsi="Times New Roman" w:cs="Times New Roman" w:eastAsiaTheme="minorEastAsia"/>
          <w:color w:val="auto"/>
          <w:kern w:val="2"/>
          <w:sz w:val="24"/>
          <w:szCs w:val="24"/>
          <w:lang w:val="en-US" w:eastAsia="zh-CN" w:bidi="ar-SA"/>
          <w14:ligatures w14:val="standardContextual"/>
        </w:rPr>
        <w:t>Title: Cultivation of Spirulina platensis for nutrient removal from piggery wastewater</w:t>
      </w:r>
    </w:p>
    <w:p w14:paraId="05EAE57D">
      <w:pPr>
        <w:pStyle w:val="4"/>
        <w:keepNext w:val="0"/>
        <w:keepLines w:val="0"/>
        <w:widowControl/>
        <w:suppressLineNumbers w:val="0"/>
        <w:rPr>
          <w:rFonts w:ascii="Times New Roman" w:hAnsi="Times New Roman" w:cs="Times New Roman" w:eastAsiaTheme="minorEastAsia"/>
          <w:color w:val="auto"/>
          <w:kern w:val="2"/>
          <w:sz w:val="24"/>
          <w:szCs w:val="24"/>
          <w:lang w:val="en-US" w:eastAsia="zh-CN" w:bidi="ar-SA"/>
          <w14:ligatures w14:val="standardContextual"/>
        </w:rPr>
      </w:pPr>
      <w:r>
        <w:rPr>
          <w:rFonts w:ascii="Times New Roman" w:hAnsi="Times New Roman" w:cs="Times New Roman" w:eastAsiaTheme="minorEastAsia"/>
          <w:color w:val="auto"/>
          <w:kern w:val="2"/>
          <w:sz w:val="24"/>
          <w:szCs w:val="24"/>
          <w:lang w:val="en-US" w:eastAsia="zh-CN" w:bidi="ar-SA"/>
          <w14:ligatures w14:val="standardContextual"/>
        </w:rPr>
        <w:t>a). PICO</w:t>
      </w:r>
    </w:p>
    <w:p w14:paraId="127860B6">
      <w:pPr>
        <w:pStyle w:val="12"/>
        <w:keepNext w:val="0"/>
        <w:keepLines w:val="0"/>
        <w:widowControl/>
        <w:suppressLineNumbers w:val="0"/>
        <w:spacing w:before="0" w:beforeAutospacing="1" w:after="0" w:afterAutospacing="1"/>
        <w:ind w:left="0" w:right="0"/>
        <w:rPr>
          <w:rFonts w:ascii="Times New Roman" w:hAnsi="Times New Roman" w:cs="Times New Roman" w:eastAsiaTheme="minorEastAsia"/>
          <w:color w:val="auto"/>
          <w:kern w:val="2"/>
          <w:sz w:val="24"/>
          <w:szCs w:val="24"/>
          <w:lang w:val="en-US" w:eastAsia="zh-CN" w:bidi="ar-SA"/>
          <w14:ligatures w14:val="standardContextual"/>
        </w:rPr>
      </w:pPr>
      <w:r>
        <w:rPr>
          <w:rFonts w:ascii="Times New Roman" w:hAnsi="Times New Roman" w:cs="Times New Roman" w:eastAsiaTheme="minorEastAsia"/>
          <w:color w:val="auto"/>
          <w:kern w:val="2"/>
          <w:sz w:val="24"/>
          <w:szCs w:val="24"/>
          <w:lang w:val="en-US" w:eastAsia="zh-CN" w:bidi="ar-SA"/>
          <w14:ligatures w14:val="standardContextual"/>
        </w:rPr>
        <w:t>Population:Spirulina platensis cultivated in diluted piggery wastewater.</w:t>
      </w:r>
    </w:p>
    <w:p w14:paraId="5D0629D4">
      <w:pPr>
        <w:pStyle w:val="12"/>
        <w:keepNext w:val="0"/>
        <w:keepLines w:val="0"/>
        <w:widowControl/>
        <w:suppressLineNumbers w:val="0"/>
        <w:spacing w:before="0" w:beforeAutospacing="1" w:after="0" w:afterAutospacing="1"/>
        <w:ind w:left="0" w:right="0"/>
        <w:rPr>
          <w:rFonts w:ascii="Times New Roman" w:hAnsi="Times New Roman" w:cs="Times New Roman" w:eastAsiaTheme="minorEastAsia"/>
          <w:color w:val="auto"/>
          <w:kern w:val="2"/>
          <w:sz w:val="24"/>
          <w:szCs w:val="24"/>
          <w:lang w:val="en-US" w:eastAsia="zh-CN" w:bidi="ar-SA"/>
          <w14:ligatures w14:val="standardContextual"/>
        </w:rPr>
      </w:pPr>
      <w:r>
        <w:rPr>
          <w:rFonts w:ascii="Times New Roman" w:hAnsi="Times New Roman" w:cs="Times New Roman" w:eastAsiaTheme="minorEastAsia"/>
          <w:color w:val="auto"/>
          <w:kern w:val="2"/>
          <w:sz w:val="24"/>
          <w:szCs w:val="24"/>
          <w:lang w:val="en-US" w:eastAsia="zh-CN" w:bidi="ar-SA"/>
          <w14:ligatures w14:val="standardContextual"/>
        </w:rPr>
        <w:t>Intervention:Supplementation with different concentrations of sodium bicarbonate, together with optimization of culture conditions including pH, light intensity, and photoperiod.</w:t>
      </w:r>
    </w:p>
    <w:p w14:paraId="71A4FF50">
      <w:pPr>
        <w:pStyle w:val="12"/>
        <w:keepNext w:val="0"/>
        <w:keepLines w:val="0"/>
        <w:widowControl/>
        <w:suppressLineNumbers w:val="0"/>
        <w:spacing w:before="0" w:beforeAutospacing="1" w:after="0" w:afterAutospacing="1"/>
        <w:ind w:left="0" w:right="0"/>
        <w:rPr>
          <w:rFonts w:ascii="Times New Roman" w:hAnsi="Times New Roman" w:cs="Times New Roman" w:eastAsiaTheme="minorEastAsia"/>
          <w:color w:val="auto"/>
          <w:kern w:val="2"/>
          <w:sz w:val="24"/>
          <w:szCs w:val="24"/>
          <w:lang w:val="en-US" w:eastAsia="zh-CN" w:bidi="ar-SA"/>
          <w14:ligatures w14:val="standardContextual"/>
        </w:rPr>
      </w:pPr>
      <w:r>
        <w:rPr>
          <w:rFonts w:ascii="Times New Roman" w:hAnsi="Times New Roman" w:cs="Times New Roman" w:eastAsiaTheme="minorEastAsia"/>
          <w:color w:val="auto"/>
          <w:kern w:val="2"/>
          <w:sz w:val="24"/>
          <w:szCs w:val="24"/>
          <w:lang w:val="en-US" w:eastAsia="zh-CN" w:bidi="ar-SA"/>
          <w14:ligatures w14:val="standardContextual"/>
        </w:rPr>
        <w:t>Comparator:Diluted piggery wastewater without sodium bicarbonate supplementation, and comparisons among different NaHCO₃ concentrations and culture conditions.</w:t>
      </w:r>
    </w:p>
    <w:p w14:paraId="773FD75F">
      <w:pPr>
        <w:pStyle w:val="12"/>
        <w:keepNext w:val="0"/>
        <w:keepLines w:val="0"/>
        <w:widowControl/>
        <w:suppressLineNumbers w:val="0"/>
        <w:spacing w:before="0" w:beforeAutospacing="1" w:after="0" w:afterAutospacing="1"/>
        <w:ind w:left="0" w:right="0"/>
        <w:rPr>
          <w:rFonts w:ascii="Times New Roman" w:hAnsi="Times New Roman" w:cs="Times New Roman" w:eastAsiaTheme="minorEastAsia"/>
          <w:color w:val="auto"/>
          <w:kern w:val="2"/>
          <w:sz w:val="24"/>
          <w:szCs w:val="24"/>
          <w:lang w:val="en-US" w:eastAsia="zh-CN" w:bidi="ar-SA"/>
          <w14:ligatures w14:val="standardContextual"/>
        </w:rPr>
      </w:pPr>
      <w:r>
        <w:rPr>
          <w:rFonts w:ascii="Times New Roman" w:hAnsi="Times New Roman" w:cs="Times New Roman" w:eastAsiaTheme="minorEastAsia"/>
          <w:color w:val="auto"/>
          <w:kern w:val="2"/>
          <w:sz w:val="24"/>
          <w:szCs w:val="24"/>
          <w:lang w:val="en-US" w:eastAsia="zh-CN" w:bidi="ar-SA"/>
          <w14:ligatures w14:val="standardContextual"/>
        </w:rPr>
        <w:t>Outcome:Growth of S. platensis measured mainly by OD560 and biomass concentration; nutrient and pollutant removal including TN, TP, COD, Cu and Zn; and biomass biochemical composition.</w:t>
      </w:r>
    </w:p>
    <w:p w14:paraId="5183DD01">
      <w:pPr>
        <w:pStyle w:val="4"/>
        <w:keepNext w:val="0"/>
        <w:keepLines w:val="0"/>
        <w:widowControl/>
        <w:suppressLineNumbers w:val="0"/>
        <w:rPr>
          <w:rFonts w:ascii="Times New Roman" w:hAnsi="Times New Roman" w:cs="Times New Roman" w:eastAsiaTheme="minorEastAsia"/>
          <w:color w:val="auto"/>
          <w:kern w:val="2"/>
          <w:sz w:val="24"/>
          <w:szCs w:val="24"/>
          <w:lang w:val="en-US" w:eastAsia="zh-CN" w:bidi="ar-SA"/>
          <w14:ligatures w14:val="standardContextual"/>
        </w:rPr>
      </w:pPr>
      <w:r>
        <w:rPr>
          <w:rFonts w:ascii="Times New Roman" w:hAnsi="Times New Roman" w:cs="Times New Roman" w:eastAsiaTheme="minorEastAsia"/>
          <w:color w:val="auto"/>
          <w:kern w:val="2"/>
          <w:sz w:val="24"/>
          <w:szCs w:val="24"/>
          <w:lang w:val="en-US" w:eastAsia="zh-CN" w:bidi="ar-SA"/>
          <w14:ligatures w14:val="standardContextual"/>
        </w:rPr>
        <w:t>b). Dataset/data type:Primary experimental time-series and endpoint data, including OD560/biomass growth, wastewater nutrient and heavy-metal concentrations, culture-condition variables, nutrient-removal efficiencies, and biochemical composition of the harvested Spirulina biomass.</w:t>
      </w:r>
    </w:p>
    <w:p w14:paraId="0326F0CC">
      <w:pPr>
        <w:pStyle w:val="4"/>
        <w:keepNext w:val="0"/>
        <w:keepLines w:val="0"/>
        <w:widowControl/>
        <w:suppressLineNumbers w:val="0"/>
        <w:rPr>
          <w:rFonts w:ascii="Times New Roman" w:hAnsi="Times New Roman" w:cs="Times New Roman" w:eastAsiaTheme="minorEastAsia"/>
          <w:color w:val="auto"/>
          <w:kern w:val="2"/>
          <w:sz w:val="24"/>
          <w:szCs w:val="24"/>
          <w:lang w:val="en-US" w:eastAsia="zh-CN" w:bidi="ar-SA"/>
          <w14:ligatures w14:val="standardContextual"/>
        </w:rPr>
      </w:pPr>
      <w:r>
        <w:rPr>
          <w:rFonts w:ascii="Times New Roman" w:hAnsi="Times New Roman" w:cs="Times New Roman" w:eastAsiaTheme="minorEastAsia"/>
          <w:color w:val="auto"/>
          <w:kern w:val="2"/>
          <w:sz w:val="24"/>
          <w:szCs w:val="24"/>
          <w:lang w:val="en-US" w:eastAsia="zh-CN" w:bidi="ar-SA"/>
          <w14:ligatures w14:val="standardContextual"/>
        </w:rPr>
        <w:t>c). Hypothesis</w:t>
      </w:r>
      <w:r>
        <w:rPr>
          <w:rFonts w:hint="eastAsia" w:ascii="Times New Roman" w:hAnsi="Times New Roman" w:cs="Times New Roman" w:eastAsiaTheme="minorEastAsia"/>
          <w:color w:val="auto"/>
          <w:kern w:val="2"/>
          <w:sz w:val="24"/>
          <w:szCs w:val="24"/>
          <w:lang w:val="en-US" w:eastAsia="zh-CN" w:bidi="ar-SA"/>
          <w14:ligatures w14:val="standardContextual"/>
        </w:rPr>
        <w:t>：</w:t>
      </w:r>
      <w:bookmarkStart w:id="0" w:name="_GoBack"/>
      <w:bookmarkEnd w:id="0"/>
      <w:r>
        <w:rPr>
          <w:rFonts w:ascii="Times New Roman" w:hAnsi="Times New Roman" w:cs="Times New Roman" w:eastAsiaTheme="minorEastAsia"/>
          <w:color w:val="auto"/>
          <w:kern w:val="2"/>
          <w:sz w:val="24"/>
          <w:szCs w:val="24"/>
          <w:lang w:val="en-US" w:eastAsia="zh-CN" w:bidi="ar-SA"/>
          <w14:ligatures w14:val="standardContextual"/>
        </w:rPr>
        <w:t xml:space="preserve"> Diluted piggery wastewater contains sufficient nitrogen, phosphorus and other nutrients to support S. platensis, but bicarbonate availability is limiting; therefore, sodium bicarbonate supplementation should improve Spirulina growth and enable effective nutrient removal from the wastewater.</w:t>
      </w:r>
    </w:p>
    <w:p w14:paraId="4E0B853C">
      <w:pPr>
        <w:keepNext w:val="0"/>
        <w:keepLines w:val="0"/>
        <w:widowControl/>
        <w:suppressLineNumbers w:val="0"/>
        <w:rPr>
          <w:rFonts w:ascii="Times New Roman" w:hAnsi="Times New Roman" w:cs="Times New Roman" w:eastAsiaTheme="minorEastAsia"/>
          <w:color w:val="auto"/>
          <w:kern w:val="2"/>
          <w:sz w:val="24"/>
          <w:szCs w:val="24"/>
          <w:lang w:val="en-US" w:eastAsia="zh-CN" w:bidi="ar-SA"/>
          <w14:ligatures w14:val="standardContextual"/>
        </w:rPr>
      </w:pPr>
    </w:p>
    <w:p w14:paraId="187E7BCE">
      <w:pPr>
        <w:pStyle w:val="3"/>
        <w:keepNext w:val="0"/>
        <w:keepLines w:val="0"/>
        <w:widowControl/>
        <w:suppressLineNumbers w:val="0"/>
        <w:rPr>
          <w:rFonts w:ascii="Times New Roman" w:hAnsi="Times New Roman" w:cs="Times New Roman" w:eastAsiaTheme="minorEastAsia"/>
          <w:color w:val="auto"/>
          <w:kern w:val="2"/>
          <w:sz w:val="24"/>
          <w:szCs w:val="24"/>
          <w:lang w:val="en-US" w:eastAsia="zh-CN" w:bidi="ar-SA"/>
          <w14:ligatures w14:val="standardContextual"/>
        </w:rPr>
      </w:pPr>
      <w:r>
        <w:rPr>
          <w:rFonts w:ascii="Times New Roman" w:hAnsi="Times New Roman" w:cs="Times New Roman" w:eastAsiaTheme="minorEastAsia"/>
          <w:color w:val="auto"/>
          <w:kern w:val="2"/>
          <w:sz w:val="24"/>
          <w:szCs w:val="24"/>
          <w:lang w:val="en-US" w:eastAsia="zh-CN" w:bidi="ar-SA"/>
          <w14:ligatures w14:val="standardContextual"/>
        </w:rPr>
        <w:t>Paper 2: Yu et al. (2025)</w:t>
      </w:r>
    </w:p>
    <w:p w14:paraId="494584AE">
      <w:pPr>
        <w:pStyle w:val="12"/>
        <w:keepNext w:val="0"/>
        <w:keepLines w:val="0"/>
        <w:widowControl/>
        <w:suppressLineNumbers w:val="0"/>
        <w:spacing w:before="0" w:beforeAutospacing="1" w:after="0" w:afterAutospacing="1"/>
        <w:ind w:left="0" w:right="0"/>
        <w:rPr>
          <w:rFonts w:ascii="Times New Roman" w:hAnsi="Times New Roman" w:cs="Times New Roman" w:eastAsiaTheme="minorEastAsia"/>
          <w:color w:val="auto"/>
          <w:kern w:val="2"/>
          <w:sz w:val="24"/>
          <w:szCs w:val="24"/>
          <w:lang w:val="en-US" w:eastAsia="zh-CN" w:bidi="ar-SA"/>
          <w14:ligatures w14:val="standardContextual"/>
        </w:rPr>
      </w:pPr>
      <w:r>
        <w:rPr>
          <w:rFonts w:ascii="Times New Roman" w:hAnsi="Times New Roman" w:cs="Times New Roman" w:eastAsiaTheme="minorEastAsia"/>
          <w:color w:val="auto"/>
          <w:kern w:val="2"/>
          <w:sz w:val="24"/>
          <w:szCs w:val="24"/>
          <w:lang w:val="en-US" w:eastAsia="zh-CN" w:bidi="ar-SA"/>
          <w14:ligatures w14:val="standardContextual"/>
        </w:rPr>
        <w:t>Title: Maximizing CO₂ biofixation of Arthrospira platensis using an in situ bicarbonate pool: Optimization of CO₂-regulated pH and bicarbonate concentration</w:t>
      </w:r>
    </w:p>
    <w:p w14:paraId="41CED206">
      <w:pPr>
        <w:pStyle w:val="4"/>
        <w:keepNext w:val="0"/>
        <w:keepLines w:val="0"/>
        <w:widowControl/>
        <w:suppressLineNumbers w:val="0"/>
        <w:rPr>
          <w:rFonts w:ascii="Times New Roman" w:hAnsi="Times New Roman" w:cs="Times New Roman" w:eastAsiaTheme="minorEastAsia"/>
          <w:color w:val="auto"/>
          <w:kern w:val="2"/>
          <w:sz w:val="24"/>
          <w:szCs w:val="24"/>
          <w:lang w:val="en-US" w:eastAsia="zh-CN" w:bidi="ar-SA"/>
          <w14:ligatures w14:val="standardContextual"/>
        </w:rPr>
      </w:pPr>
      <w:r>
        <w:rPr>
          <w:rFonts w:ascii="Times New Roman" w:hAnsi="Times New Roman" w:cs="Times New Roman" w:eastAsiaTheme="minorEastAsia"/>
          <w:color w:val="auto"/>
          <w:kern w:val="2"/>
          <w:sz w:val="24"/>
          <w:szCs w:val="24"/>
          <w:lang w:val="en-US" w:eastAsia="zh-CN" w:bidi="ar-SA"/>
          <w14:ligatures w14:val="standardContextual"/>
        </w:rPr>
        <w:t>a). PICO</w:t>
      </w:r>
    </w:p>
    <w:p w14:paraId="30BB0154">
      <w:pPr>
        <w:pStyle w:val="12"/>
        <w:keepNext w:val="0"/>
        <w:keepLines w:val="0"/>
        <w:widowControl/>
        <w:suppressLineNumbers w:val="0"/>
        <w:spacing w:before="0" w:beforeAutospacing="1" w:after="0" w:afterAutospacing="1"/>
        <w:ind w:left="0" w:right="0"/>
        <w:rPr>
          <w:rFonts w:ascii="Times New Roman" w:hAnsi="Times New Roman" w:cs="Times New Roman" w:eastAsiaTheme="minorEastAsia"/>
          <w:color w:val="auto"/>
          <w:kern w:val="2"/>
          <w:sz w:val="24"/>
          <w:szCs w:val="24"/>
          <w:lang w:val="en-US" w:eastAsia="zh-CN" w:bidi="ar-SA"/>
          <w14:ligatures w14:val="standardContextual"/>
        </w:rPr>
      </w:pPr>
      <w:r>
        <w:rPr>
          <w:rFonts w:ascii="Times New Roman" w:hAnsi="Times New Roman" w:cs="Times New Roman" w:eastAsiaTheme="minorEastAsia"/>
          <w:color w:val="auto"/>
          <w:kern w:val="2"/>
          <w:sz w:val="24"/>
          <w:szCs w:val="24"/>
          <w:lang w:val="en-US" w:eastAsia="zh-CN" w:bidi="ar-SA"/>
          <w14:ligatures w14:val="standardContextual"/>
        </w:rPr>
        <w:t>Population:Arthrospira platensis cultured in modified Zarrouk medium in laboratory and outdoor photobioreactor/raceway systems.</w:t>
      </w:r>
    </w:p>
    <w:p w14:paraId="19A557DA">
      <w:pPr>
        <w:pStyle w:val="12"/>
        <w:keepNext w:val="0"/>
        <w:keepLines w:val="0"/>
        <w:widowControl/>
        <w:suppressLineNumbers w:val="0"/>
        <w:spacing w:before="0" w:beforeAutospacing="1" w:after="0" w:afterAutospacing="1"/>
        <w:ind w:left="0" w:right="0"/>
        <w:rPr>
          <w:rFonts w:ascii="Times New Roman" w:hAnsi="Times New Roman" w:cs="Times New Roman" w:eastAsiaTheme="minorEastAsia"/>
          <w:color w:val="auto"/>
          <w:kern w:val="2"/>
          <w:sz w:val="24"/>
          <w:szCs w:val="24"/>
          <w:lang w:val="en-US" w:eastAsia="zh-CN" w:bidi="ar-SA"/>
          <w14:ligatures w14:val="standardContextual"/>
        </w:rPr>
      </w:pPr>
      <w:r>
        <w:rPr>
          <w:rFonts w:ascii="Times New Roman" w:hAnsi="Times New Roman" w:cs="Times New Roman" w:eastAsiaTheme="minorEastAsia"/>
          <w:color w:val="auto"/>
          <w:kern w:val="2"/>
          <w:sz w:val="24"/>
          <w:szCs w:val="24"/>
          <w:lang w:val="en-US" w:eastAsia="zh-CN" w:bidi="ar-SA"/>
          <w14:ligatures w14:val="standardContextual"/>
        </w:rPr>
        <w:t>Intervention:Manipulation of bicarbonate-pool concentration using different NaHCO₃ levels, together with CO₂-regulated pH.</w:t>
      </w:r>
    </w:p>
    <w:p w14:paraId="3435962A">
      <w:pPr>
        <w:pStyle w:val="12"/>
        <w:keepNext w:val="0"/>
        <w:keepLines w:val="0"/>
        <w:widowControl/>
        <w:suppressLineNumbers w:val="0"/>
        <w:spacing w:before="0" w:beforeAutospacing="1" w:after="0" w:afterAutospacing="1"/>
        <w:ind w:left="0" w:right="0"/>
        <w:rPr>
          <w:rFonts w:ascii="Times New Roman" w:hAnsi="Times New Roman" w:cs="Times New Roman" w:eastAsiaTheme="minorEastAsia"/>
          <w:color w:val="auto"/>
          <w:kern w:val="2"/>
          <w:sz w:val="24"/>
          <w:szCs w:val="24"/>
          <w:lang w:val="en-US" w:eastAsia="zh-CN" w:bidi="ar-SA"/>
          <w14:ligatures w14:val="standardContextual"/>
        </w:rPr>
      </w:pPr>
      <w:r>
        <w:rPr>
          <w:rFonts w:ascii="Times New Roman" w:hAnsi="Times New Roman" w:cs="Times New Roman" w:eastAsiaTheme="minorEastAsia"/>
          <w:color w:val="auto"/>
          <w:kern w:val="2"/>
          <w:sz w:val="24"/>
          <w:szCs w:val="24"/>
          <w:lang w:val="en-US" w:eastAsia="zh-CN" w:bidi="ar-SA"/>
          <w14:ligatures w14:val="standardContextual"/>
        </w:rPr>
        <w:t>Comparator:Cultures with different NaHCO₃ concentrations and different CO₂-regulated pH values, including a 0 g/L NaHCO₃ condition.</w:t>
      </w:r>
    </w:p>
    <w:p w14:paraId="55136C2C">
      <w:pPr>
        <w:pStyle w:val="12"/>
        <w:keepNext w:val="0"/>
        <w:keepLines w:val="0"/>
        <w:widowControl/>
        <w:suppressLineNumbers w:val="0"/>
        <w:spacing w:before="0" w:beforeAutospacing="1" w:after="0" w:afterAutospacing="1"/>
        <w:ind w:left="0" w:right="0"/>
        <w:rPr>
          <w:rFonts w:ascii="Times New Roman" w:hAnsi="Times New Roman" w:cs="Times New Roman" w:eastAsiaTheme="minorEastAsia"/>
          <w:color w:val="auto"/>
          <w:kern w:val="2"/>
          <w:sz w:val="24"/>
          <w:szCs w:val="24"/>
          <w:lang w:val="en-US" w:eastAsia="zh-CN" w:bidi="ar-SA"/>
          <w14:ligatures w14:val="standardContextual"/>
        </w:rPr>
      </w:pPr>
      <w:r>
        <w:rPr>
          <w:rFonts w:ascii="Times New Roman" w:hAnsi="Times New Roman" w:cs="Times New Roman" w:eastAsiaTheme="minorEastAsia"/>
          <w:color w:val="auto"/>
          <w:kern w:val="2"/>
          <w:sz w:val="24"/>
          <w:szCs w:val="24"/>
          <w:lang w:val="en-US" w:eastAsia="zh-CN" w:bidi="ar-SA"/>
          <w14:ligatures w14:val="standardContextual"/>
        </w:rPr>
        <w:t>Outcome:Biomass production/productivity, CO₂ fixation rate, exogenous CO₂ utilization efficiency, photosynthetic performance, and production of high-value biomass components such as phycocyanin and carotenoids.</w:t>
      </w:r>
    </w:p>
    <w:p w14:paraId="690D40EB">
      <w:pPr>
        <w:pStyle w:val="4"/>
        <w:keepNext w:val="0"/>
        <w:keepLines w:val="0"/>
        <w:widowControl/>
        <w:suppressLineNumbers w:val="0"/>
        <w:rPr>
          <w:rFonts w:ascii="Times New Roman" w:hAnsi="Times New Roman" w:cs="Times New Roman" w:eastAsiaTheme="minorEastAsia"/>
          <w:color w:val="auto"/>
          <w:kern w:val="2"/>
          <w:sz w:val="24"/>
          <w:szCs w:val="24"/>
          <w:lang w:val="en-US" w:eastAsia="zh-CN" w:bidi="ar-SA"/>
          <w14:ligatures w14:val="standardContextual"/>
        </w:rPr>
      </w:pPr>
      <w:r>
        <w:rPr>
          <w:rFonts w:ascii="Times New Roman" w:hAnsi="Times New Roman" w:cs="Times New Roman" w:eastAsiaTheme="minorEastAsia"/>
          <w:color w:val="auto"/>
          <w:kern w:val="2"/>
          <w:sz w:val="24"/>
          <w:szCs w:val="24"/>
          <w:lang w:val="en-US" w:eastAsia="zh-CN" w:bidi="ar-SA"/>
          <w14:ligatures w14:val="standardContextual"/>
        </w:rPr>
        <w:t>b). Dataset / data type</w:t>
      </w:r>
      <w:r>
        <w:rPr>
          <w:rFonts w:hint="eastAsia" w:ascii="Times New Roman" w:hAnsi="Times New Roman" w:cs="Times New Roman" w:eastAsiaTheme="minorEastAsia"/>
          <w:color w:val="auto"/>
          <w:kern w:val="2"/>
          <w:sz w:val="24"/>
          <w:szCs w:val="24"/>
          <w:lang w:val="en-US" w:eastAsia="zh-CN" w:bidi="ar-SA"/>
          <w14:ligatures w14:val="standardContextual"/>
        </w:rPr>
        <w:t>：</w:t>
      </w:r>
      <w:r>
        <w:rPr>
          <w:rFonts w:ascii="Times New Roman" w:hAnsi="Times New Roman" w:cs="Times New Roman" w:eastAsiaTheme="minorEastAsia"/>
          <w:color w:val="auto"/>
          <w:kern w:val="2"/>
          <w:sz w:val="24"/>
          <w:szCs w:val="24"/>
          <w:lang w:val="en-US" w:eastAsia="zh-CN" w:bidi="ar-SA"/>
          <w14:ligatures w14:val="standardContextual"/>
        </w:rPr>
        <w:t>Primary experimental data from laboratory and scale-up cultivation, including biomass dry weight and productivity, bicarbonate concentration, CO₂-regulated pH, CO₂ fixation and utilization efficiency, photosynthetic parameters, and biochemical composition of A. platensis biomass.</w:t>
      </w:r>
    </w:p>
    <w:p w14:paraId="660FC8B0">
      <w:pPr>
        <w:pStyle w:val="4"/>
        <w:keepNext w:val="0"/>
        <w:keepLines w:val="0"/>
        <w:widowControl/>
        <w:suppressLineNumbers w:val="0"/>
        <w:rPr>
          <w:rFonts w:ascii="Times New Roman" w:hAnsi="Times New Roman" w:cs="Times New Roman" w:eastAsiaTheme="minorEastAsia"/>
          <w:color w:val="auto"/>
          <w:kern w:val="2"/>
          <w:sz w:val="24"/>
          <w:szCs w:val="24"/>
          <w:lang w:val="en-US" w:eastAsia="zh-CN" w:bidi="ar-SA"/>
          <w14:ligatures w14:val="standardContextual"/>
        </w:rPr>
      </w:pPr>
      <w:r>
        <w:rPr>
          <w:rFonts w:ascii="Times New Roman" w:hAnsi="Times New Roman" w:cs="Times New Roman" w:eastAsiaTheme="minorEastAsia"/>
          <w:color w:val="auto"/>
          <w:kern w:val="2"/>
          <w:sz w:val="24"/>
          <w:szCs w:val="24"/>
          <w:lang w:val="en-US" w:eastAsia="zh-CN" w:bidi="ar-SA"/>
          <w14:ligatures w14:val="standardContextual"/>
        </w:rPr>
        <w:t>c). Hypothesis</w:t>
      </w:r>
      <w:r>
        <w:rPr>
          <w:rFonts w:hint="eastAsia" w:ascii="Times New Roman" w:hAnsi="Times New Roman" w:cs="Times New Roman" w:eastAsiaTheme="minorEastAsia"/>
          <w:color w:val="auto"/>
          <w:kern w:val="2"/>
          <w:sz w:val="24"/>
          <w:szCs w:val="24"/>
          <w:lang w:val="en-US" w:eastAsia="zh-CN" w:bidi="ar-SA"/>
          <w14:ligatures w14:val="standardContextual"/>
        </w:rPr>
        <w:t>：</w:t>
      </w:r>
      <w:r>
        <w:rPr>
          <w:rFonts w:ascii="Times New Roman" w:hAnsi="Times New Roman" w:cs="Times New Roman" w:eastAsiaTheme="minorEastAsia"/>
          <w:color w:val="auto"/>
          <w:kern w:val="2"/>
          <w:sz w:val="24"/>
          <w:szCs w:val="24"/>
          <w:lang w:val="en-US" w:eastAsia="zh-CN" w:bidi="ar-SA"/>
          <w14:ligatures w14:val="standardContextual"/>
        </w:rPr>
        <w:t>Inferred hypothesis: Maintaining an appropriate bicarbonate pool together with CO₂-regulated pH will increase inorganic-carbon availability for A. platensis, thereby improving biomass production, CO₂ fixation and exogenous CO₂ utilization efficiency compared with conditions lacking an adequate bicarbonate pool.</w:t>
      </w:r>
    </w:p>
    <w:p w14:paraId="5607E27B">
      <w:pPr>
        <w:rPr>
          <w:rFonts w:ascii="Times New Roman" w:hAnsi="Times New Roman" w:cs="Times New Roman" w:eastAsiaTheme="minorEastAsia"/>
          <w:color w:val="auto"/>
          <w:kern w:val="2"/>
          <w:sz w:val="24"/>
          <w:szCs w:val="24"/>
          <w:lang w:val="en-US" w:eastAsia="zh-CN" w:bidi="ar-SA"/>
          <w14:ligatures w14:val="standardContextual"/>
        </w:rPr>
      </w:pPr>
    </w:p>
    <w:p w14:paraId="2ADF095D">
      <w:pPr>
        <w:rPr>
          <w:rFonts w:ascii="Times New Roman" w:hAnsi="Times New Roman" w:cs="Times New Roman" w:eastAsiaTheme="minorEastAsia"/>
          <w:color w:val="auto"/>
          <w:kern w:val="2"/>
          <w:sz w:val="24"/>
          <w:szCs w:val="24"/>
          <w:lang w:val="en-US" w:eastAsia="zh-CN" w:bidi="ar-SA"/>
          <w14:ligatures w14:val="standardContextual"/>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Hiragino Sans GB W3">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20404"/>
    <w:charset w:val="00"/>
    <w:family w:val="auto"/>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893EB9"/>
    <w:multiLevelType w:val="multilevel"/>
    <w:tmpl w:val="12893EB9"/>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57C13D04"/>
    <w:multiLevelType w:val="multilevel"/>
    <w:tmpl w:val="57C13D04"/>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E73"/>
    <w:rsid w:val="0040633A"/>
    <w:rsid w:val="00651052"/>
    <w:rsid w:val="00680E65"/>
    <w:rsid w:val="00880E73"/>
    <w:rsid w:val="008C5ACE"/>
    <w:rsid w:val="00F917DF"/>
    <w:rsid w:val="5FFF6592"/>
    <w:rsid w:val="7EBE5B5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zh-CN"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5">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rPr>
      <w:sz w:val="24"/>
    </w:rPr>
  </w:style>
  <w:style w:type="paragraph" w:styleId="13">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6">
    <w:name w:val="Heading 1 Char"/>
    <w:basedOn w:val="15"/>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5"/>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5"/>
    <w:link w:val="4"/>
    <w:semiHidden/>
    <w:uiPriority w:val="9"/>
    <w:rPr>
      <w:rFonts w:eastAsiaTheme="majorEastAsia" w:cstheme="majorBidi"/>
      <w:color w:val="2F5597" w:themeColor="accent1" w:themeShade="BF"/>
      <w:sz w:val="28"/>
      <w:szCs w:val="28"/>
    </w:rPr>
  </w:style>
  <w:style w:type="character" w:customStyle="1" w:styleId="19">
    <w:name w:val="Heading 4 Char"/>
    <w:basedOn w:val="15"/>
    <w:link w:val="5"/>
    <w:semiHidden/>
    <w:uiPriority w:val="9"/>
    <w:rPr>
      <w:rFonts w:eastAsiaTheme="majorEastAsia" w:cstheme="majorBidi"/>
      <w:i/>
      <w:iCs/>
      <w:color w:val="2F5597" w:themeColor="accent1" w:themeShade="BF"/>
    </w:rPr>
  </w:style>
  <w:style w:type="character" w:customStyle="1" w:styleId="20">
    <w:name w:val="Heading 5 Char"/>
    <w:basedOn w:val="15"/>
    <w:link w:val="6"/>
    <w:semiHidden/>
    <w:uiPriority w:val="9"/>
    <w:rPr>
      <w:rFonts w:eastAsiaTheme="majorEastAsia" w:cstheme="majorBidi"/>
      <w:color w:val="2F5597" w:themeColor="accent1" w:themeShade="BF"/>
    </w:rPr>
  </w:style>
  <w:style w:type="character" w:customStyle="1" w:styleId="21">
    <w:name w:val="Heading 6 Char"/>
    <w:basedOn w:val="15"/>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5"/>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5"/>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5"/>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5"/>
    <w:link w:val="13"/>
    <w:uiPriority w:val="10"/>
    <w:rPr>
      <w:rFonts w:asciiTheme="majorHAnsi" w:hAnsiTheme="majorHAnsi" w:eastAsiaTheme="majorEastAsia" w:cstheme="majorBidi"/>
      <w:spacing w:val="-10"/>
      <w:kern w:val="28"/>
      <w:sz w:val="56"/>
      <w:szCs w:val="56"/>
    </w:rPr>
  </w:style>
  <w:style w:type="character" w:customStyle="1" w:styleId="26">
    <w:name w:val="Subtitle Char"/>
    <w:basedOn w:val="15"/>
    <w:link w:val="1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5"/>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5"/>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5"/>
    <w:link w:val="31"/>
    <w:uiPriority w:val="30"/>
    <w:rPr>
      <w:i/>
      <w:iCs/>
      <w:color w:val="2F5597" w:themeColor="accent1" w:themeShade="BF"/>
    </w:rPr>
  </w:style>
  <w:style w:type="character" w:customStyle="1" w:styleId="33">
    <w:name w:val="Intense Reference"/>
    <w:basedOn w:val="15"/>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162</Words>
  <Characters>929</Characters>
  <Lines>7</Lines>
  <Paragraphs>2</Paragraphs>
  <TotalTime>22</TotalTime>
  <ScaleCrop>false</ScaleCrop>
  <LinksUpToDate>false</LinksUpToDate>
  <CharactersWithSpaces>1089</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2026-08-22T16:22:00Z</dcterms:created>
  <dc:creator>mac</dc:creator>
  <cp:lastModifiedBy>theaye</cp:lastModifiedBy>
  <dcterms:modified xsi:type="dcterms:W3CDTF">2026-09-06T16:56:48Z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9606A64712F60C09A92A9D6AA6B77F7B_42</vt:lpwstr>
  </property>
</Properties>
</file>