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/>
    <w:p/>
    <w:p/>
    <w:p>
      <w:pPr>
        <w:spacing w:after="680"/>
        <w:jc w:val="center"/>
      </w:pPr>
      <w:r>
        <w:rPr>
          <w:rFonts w:ascii="Georgia" w:hAnsi="Georgia" w:eastAsia="Georgia"/>
          <w:b/>
          <w:i w:val="0"/>
          <w:color w:val="137A3D"/>
          <w:sz w:val="28"/>
        </w:rPr>
        <w:t>BIOINFORMATICS &amp; SPATIAL OMICS</w:t>
      </w:r>
    </w:p>
    <w:p>
      <w:pPr>
        <w:jc w:val="center"/>
      </w:pPr>
      <w:r>
        <w:rPr>
          <w:rFonts w:ascii="Georgia" w:hAnsi="Georgia" w:eastAsia="Georgia"/>
          <w:b/>
          <w:i w:val="0"/>
          <w:color w:val="137A3D"/>
          <w:sz w:val="68"/>
        </w:rPr>
        <w:t>Week 3 Homework</w:t>
      </w:r>
    </w:p>
    <w:p>
      <w:pPr>
        <w:spacing w:after="2400"/>
        <w:jc w:val="center"/>
      </w:pPr>
      <w:r>
        <w:rPr>
          <w:rFonts w:ascii="Georgia" w:hAnsi="Georgia" w:eastAsia="Georgia"/>
          <w:b w:val="0"/>
          <w:i w:val="0"/>
          <w:color w:val="444444"/>
          <w:sz w:val="32"/>
        </w:rPr>
        <w:t>GEO dataset reconnaissance and paired bulk RNA-seq design</w:t>
      </w:r>
    </w:p>
    <w:p>
      <w:pPr>
        <w:jc w:val="center"/>
      </w:pPr>
      <w:r>
        <w:rPr>
          <w:rFonts w:ascii="Georgia" w:hAnsi="Georgia" w:eastAsia="Georgia"/>
          <w:b/>
          <w:i w:val="0"/>
          <w:sz w:val="26"/>
        </w:rPr>
        <w:t>Ye Gulin</w:t>
      </w:r>
    </w:p>
    <w:p>
      <w:pPr>
        <w:jc w:val="center"/>
      </w:pPr>
      <w:r>
        <w:rPr>
          <w:rFonts w:ascii="Georgia" w:hAnsi="Georgia" w:eastAsia="Georgia"/>
          <w:b w:val="0"/>
          <w:i w:val="0"/>
          <w:sz w:val="22"/>
        </w:rPr>
        <w:t>Student ID: SUAT24000191</w:t>
      </w:r>
    </w:p>
    <w:p>
      <w:pPr>
        <w:jc w:val="center"/>
      </w:pPr>
      <w:r>
        <w:rPr>
          <w:rFonts w:ascii="Georgia" w:hAnsi="Georgia" w:eastAsia="Georgia"/>
          <w:b w:val="0"/>
          <w:i w:val="0"/>
          <w:sz w:val="22"/>
        </w:rPr>
        <w:t>September 13, 2026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Georgia" w:hAnsi="Georgia" w:eastAsia="Georgia"/>
          <w:b/>
          <w:i w:val="0"/>
          <w:color w:val="137A3D"/>
          <w:sz w:val="44"/>
        </w:rPr>
        <w:t>Scope and evidence status</w:t>
      </w:r>
    </w:p>
    <w:p>
      <w:pPr>
        <w:spacing w:after="100" w:line="252" w:lineRule="auto"/>
      </w:pPr>
      <w:r>
        <w:rPr>
          <w:rFonts w:ascii="Georgia" w:hAnsi="Georgia" w:eastAsia="Georgia"/>
          <w:b w:val="0"/>
          <w:i w:val="0"/>
          <w:sz w:val="21"/>
        </w:rPr>
        <w:t>GSE146853 is used for Part A because it is the IBS host-transcriptome GEO series underlying the IBS cohort discussed in the Week 2 Nature Microbiology paper. The GEO-linked primary study is Mars et al. (Cell, 2020), which is distinct from the Week 2 cross-disease integration paper by Priya et al. (Nature Microbiology, 2022).</w:t>
      </w:r>
    </w:p>
    <w:p>
      <w:pPr>
        <w:spacing w:after="100" w:line="252" w:lineRule="auto"/>
      </w:pPr>
      <w:r>
        <w:rPr>
          <w:rFonts w:ascii="Georgia" w:hAnsi="Georgia" w:eastAsia="Georgia"/>
          <w:b w:val="0"/>
          <w:i w:val="0"/>
          <w:sz w:val="21"/>
        </w:rPr>
        <w:t>Verification performed: both downloaded gzip files passed integrity checks; matrix dimensions and integer status were checked in R; pairing and IRI status were reconstructed from GEO family metadata; the example GSM-to-SRR chain was checked against the NCBI SRA record.</w:t>
      </w:r>
    </w:p>
    <w:p>
      <w:pPr>
        <w:pStyle w:val="Heading1"/>
        <w:spacing w:before="240" w:after="100"/>
      </w:pPr>
      <w:r>
        <w:rPr>
          <w:rFonts w:ascii="Georgia" w:hAnsi="Georgia" w:eastAsia="Georgia"/>
          <w:b/>
          <w:i w:val="0"/>
          <w:color w:val="137A3D"/>
          <w:sz w:val="44"/>
        </w:rPr>
        <w:t>Part A — GSE146853 reconnaissance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7ACA9"/>
          <w:left w:val="single" w:sz="4" w:space="0" w:color="A7ACA9"/>
          <w:bottom w:val="single" w:sz="4" w:space="0" w:color="A7ACA9"/>
          <w:right w:val="single" w:sz="4" w:space="0" w:color="A7ACA9"/>
          <w:insideH w:val="single" w:sz="4" w:space="0" w:color="A7ACA9"/>
          <w:insideV w:val="single" w:sz="4" w:space="0" w:color="A7ACA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8"/>
              </w:rPr>
              <w:t>Step</w:t>
            </w:r>
          </w:p>
        </w:tc>
        <w:tc>
          <w:tcPr>
            <w:tcW w:type="dxa" w:w="7920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8"/>
              </w:rPr>
              <w:t>Evidence recorded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1. Data-driven question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Among adults aged 18–65 with IBS-C or IBS-D, compared with matched healthy controls, which colonic mucosal host genes show differential expression in bulk RNA-seq data after accounting for repeated biopsies from the same participant?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2. Study identity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GSE146853 — “Longitudinal multi-omics reveals subset-specific mechanisms underlying irritable bowel syndrome”; Homo sapiens; bulk RNA-seq; GPL16791, Illumina HiSeq 2500. GEO-linked publication: Mars et al., Cell 2020, PMID 32916129. Week 2 paper using this IBS cohort: Priya et al., Nature Microbiology 2022.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3. Accession map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GSE146853 → BioProject PRJNA612180 → SRA study SRP252532. Example: GSM4407870 (10007542-1) → SRA experiment SRX7899619 → run SRR11294060; BioSample SAMN14364294.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4. Available data layers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GEO provides a Series Matrix, supplementary raw gene-count matrix GSE146853_GeneCount_raw.txt.gz, and paired-end raw reads in SRA. No single-cell files are listed. The wider publication contains other omics, but this GEO series itself is host bulk RNA-seq rather than the entire multi-omics study.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5. Reconstructed design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68 biopsy RNA-seq samples from 42 subject IDs: 26 subjects have two biopsies and 16 have one. Raw metadata summarize as IBS-C/Constipation 23 samples from 15 subjects, IBS-D/Diarrhea 23 samples from 13 subjects (including two records with a duplicated-label typo), Healthy 21 samples from 13 subjects, and one sample with cohort recorded as NA. Recorded covariates are age, sex and BMI; controls were matched on these variables. Repeated samples must be modeled by subject. All samples use GPL16791; an explicit sequencing-batch variable is not provided, so batch is unknown rather than assumed absent.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rFonts w:ascii="Georgia" w:hAnsi="Georgia" w:eastAsia="Georgia"/>
          <w:b/>
          <w:i w:val="0"/>
          <w:color w:val="137A3D"/>
          <w:sz w:val="30"/>
        </w:rPr>
        <w:t>Local matrix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7ACA9"/>
          <w:left w:val="single" w:sz="4" w:space="0" w:color="A7ACA9"/>
          <w:bottom w:val="single" w:sz="4" w:space="0" w:color="A7ACA9"/>
          <w:right w:val="single" w:sz="4" w:space="0" w:color="A7ACA9"/>
          <w:insideH w:val="single" w:sz="4" w:space="0" w:color="A7ACA9"/>
          <w:insideV w:val="single" w:sz="4" w:space="0" w:color="A7ACA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7"/>
              </w:rPr>
              <w:t>Check</w:t>
            </w:r>
          </w:p>
        </w:tc>
        <w:tc>
          <w:tcPr>
            <w:tcW w:type="dxa" w:w="3168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7"/>
              </w:rPr>
              <w:t>Observed result</w:t>
            </w:r>
          </w:p>
        </w:tc>
        <w:tc>
          <w:tcPr>
            <w:tcW w:type="dxa" w:w="4968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7"/>
              </w:rPr>
              <w:t>File integrity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7"/>
              </w:rPr>
              <w:t>gzip test passed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7"/>
              </w:rPr>
              <w:t>The manually downloaded file is complete.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7"/>
              </w:rPr>
              <w:t>Dimensions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7"/>
              </w:rPr>
              <w:t>64,253 gene rows × 68 sample columns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7"/>
              </w:rPr>
              <w:t>All 68 GEO sample columns are present.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7"/>
              </w:rPr>
              <w:t>Value type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7"/>
              </w:rPr>
              <w:t>Finite, non-negative integers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7"/>
              </w:rPr>
              <w:t>The file is a raw count matrix suitable for count-based methods after design and QC decisions.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rFonts w:ascii="Georgia" w:hAnsi="Georgia" w:eastAsia="Georgia"/>
          <w:b/>
          <w:i w:val="0"/>
          <w:color w:val="137A3D"/>
          <w:sz w:val="44"/>
        </w:rPr>
        <w:t>Part B — GSE87487 analysis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7ACA9"/>
          <w:left w:val="single" w:sz="4" w:space="0" w:color="A7ACA9"/>
          <w:bottom w:val="single" w:sz="4" w:space="0" w:color="A7ACA9"/>
          <w:right w:val="single" w:sz="4" w:space="0" w:color="A7ACA9"/>
          <w:insideH w:val="single" w:sz="4" w:space="0" w:color="A7ACA9"/>
          <w:insideV w:val="single" w:sz="4" w:space="0" w:color="A7ACA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8"/>
              </w:rPr>
              <w:t>Question</w:t>
            </w:r>
          </w:p>
        </w:tc>
        <w:tc>
          <w:tcPr>
            <w:tcW w:type="dxa" w:w="7488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8"/>
              </w:rPr>
              <w:t>Student decision and evidence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Are the values counts?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Yes. The matrix contains 60,498 gene rows and 20 sample columns. Every sample value is finite, non-negative and integer-valued. GEO metadata state that reads were aligned to hg38 and summarized with featureCounts.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Are samples independent?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No. The 20 biopsies are 10 matched subject pairs, each with one pre-reperfusion (Bx1) and one post-reperfusion (Bx2) sample. Subject ID must remain in the metadata and model; treating all columns as independent would be pseudoreplication.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Can all 20 be compared directly?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Not as an unpaired 10-versus-10 test and not while silently mixing IRI status. The prespecified contrast here is post-reperfusion versus pre-reperfusion within the four IRI-positive subjects (8 samples), using design ~ subject + stage. The six IRI-negative pairs are outside this contrast.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Is full raw-read reprocessing possible?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Yes. Raw reads are available under SRA study SRP090633 (BioProject PRJNA344898). A full workflow could download FASTQ, run QC, align to the stated genome build and recount genes, but this is beyond the one-hour homework and unnecessary for checking the supplied count matrix.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rFonts w:ascii="Georgia" w:hAnsi="Georgia" w:eastAsia="Georgia"/>
          <w:b/>
          <w:i w:val="0"/>
          <w:color w:val="137A3D"/>
          <w:sz w:val="30"/>
        </w:rPr>
        <w:t>Design reconstruction for GSE87487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7ACA9"/>
          <w:left w:val="single" w:sz="4" w:space="0" w:color="A7ACA9"/>
          <w:bottom w:val="single" w:sz="4" w:space="0" w:color="A7ACA9"/>
          <w:right w:val="single" w:sz="4" w:space="0" w:color="A7ACA9"/>
          <w:insideH w:val="single" w:sz="4" w:space="0" w:color="A7ACA9"/>
          <w:insideV w:val="single" w:sz="4" w:space="0" w:color="A7ACA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8"/>
              </w:rPr>
              <w:t>Item</w:t>
            </w:r>
          </w:p>
        </w:tc>
        <w:tc>
          <w:tcPr>
            <w:tcW w:type="dxa" w:w="7488"/>
            <w:shd w:fill="F1F2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137A3D"/>
                <w:sz w:val="18"/>
              </w:rPr>
              <w:t>Reconstructed value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Subjects and pairing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10 subjects; exactly one pre and one post biopsy per subject.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IRI-positive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4 pairs: RJ, Pt9, Pt10 and Pt12.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IRI-negative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6 pairs: HB, MJ, OC, Pt2, Pt6 and Pt8.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Selected contrast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IRI-positive post versus pre; DESeq2 design = ~ subject + stage; contrast = stage post versus pre.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EAF4ED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Boundary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The task requires a justified design decision, not a claim of clinical validation. Small subgroup size and unreported batch covariates limit inference.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rFonts w:ascii="Georgia" w:hAnsi="Georgia" w:eastAsia="Georgia"/>
          <w:b/>
          <w:i w:val="0"/>
          <w:color w:val="137A3D"/>
          <w:sz w:val="30"/>
        </w:rPr>
        <w:t>Evidence links</w:t>
      </w:r>
    </w:p>
    <w:p>
      <w:pPr>
        <w:spacing w:after="60"/>
      </w:pPr>
      <w:r>
        <w:rPr>
          <w:rFonts w:ascii="Georgia" w:hAnsi="Georgia" w:eastAsia="Georgia"/>
          <w:b w:val="0"/>
          <w:i w:val="0"/>
          <w:color w:val="137A3D"/>
          <w:sz w:val="20"/>
        </w:rPr>
        <w:t xml:space="preserve">• </w:t>
      </w:r>
      <w:hyperlink r:id="rId10">
        <w:r>
          <w:rPr>
            <w:color w:val="137A3D"/>
            <w:u w:val="single"/>
          </w:rPr>
          <w:t>GSE146853 GEO Series</w:t>
        </w:r>
      </w:hyperlink>
    </w:p>
    <w:p>
      <w:pPr>
        <w:spacing w:after="60"/>
      </w:pPr>
      <w:r>
        <w:rPr>
          <w:rFonts w:ascii="Georgia" w:hAnsi="Georgia" w:eastAsia="Georgia"/>
          <w:b w:val="0"/>
          <w:i w:val="0"/>
          <w:color w:val="137A3D"/>
          <w:sz w:val="20"/>
        </w:rPr>
        <w:t xml:space="preserve">• </w:t>
      </w:r>
      <w:hyperlink r:id="rId11">
        <w:r>
          <w:rPr>
            <w:color w:val="137A3D"/>
            <w:u w:val="single"/>
          </w:rPr>
          <w:t>GSM4407870 GEO Sample</w:t>
        </w:r>
      </w:hyperlink>
    </w:p>
    <w:p>
      <w:pPr>
        <w:spacing w:after="60"/>
      </w:pPr>
      <w:r>
        <w:rPr>
          <w:rFonts w:ascii="Georgia" w:hAnsi="Georgia" w:eastAsia="Georgia"/>
          <w:b w:val="0"/>
          <w:i w:val="0"/>
          <w:color w:val="137A3D"/>
          <w:sz w:val="20"/>
        </w:rPr>
        <w:t xml:space="preserve">• </w:t>
      </w:r>
      <w:hyperlink r:id="rId12">
        <w:r>
          <w:rPr>
            <w:color w:val="137A3D"/>
            <w:u w:val="single"/>
          </w:rPr>
          <w:t>Mars et al. 2020 PubMed record</w:t>
        </w:r>
      </w:hyperlink>
    </w:p>
    <w:p>
      <w:pPr>
        <w:spacing w:after="60"/>
      </w:pPr>
      <w:r>
        <w:rPr>
          <w:rFonts w:ascii="Georgia" w:hAnsi="Georgia" w:eastAsia="Georgia"/>
          <w:b w:val="0"/>
          <w:i w:val="0"/>
          <w:color w:val="137A3D"/>
          <w:sz w:val="20"/>
        </w:rPr>
        <w:t xml:space="preserve">• </w:t>
      </w:r>
      <w:hyperlink r:id="rId13">
        <w:r>
          <w:rPr>
            <w:color w:val="137A3D"/>
            <w:u w:val="single"/>
          </w:rPr>
          <w:t>GSE87487 GEO Series</w:t>
        </w:r>
      </w:hyperlink>
    </w:p>
    <w:p>
      <w:pPr>
        <w:pStyle w:val="Heading1"/>
        <w:spacing w:before="240" w:after="100"/>
      </w:pPr>
      <w:r>
        <w:rPr>
          <w:rFonts w:ascii="Georgia" w:hAnsi="Georgia" w:eastAsia="Georgia"/>
          <w:b/>
          <w:i w:val="0"/>
          <w:color w:val="137A3D"/>
          <w:sz w:val="44"/>
        </w:rPr>
        <w:t>Appendix — R script used for verification and DESeq2</w:t>
      </w:r>
    </w:p>
    <w:p>
      <w:pPr>
        <w:spacing w:after="100" w:line="252" w:lineRule="auto"/>
      </w:pPr>
      <w:r>
        <w:rPr>
          <w:rFonts w:ascii="Georgia" w:hAnsi="Georgia" w:eastAsia="Georgia"/>
          <w:b w:val="0"/>
          <w:i/>
          <w:sz w:val="21"/>
        </w:rPr>
        <w:t>This is the same script supplied with the homework. It reads both matrices, verifies counts and pairing, and runs the prespecified paired contrast.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# Week 3 homework: count-matrix checks and a paired DESeq2 contrast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args_all &lt;- commandArgs(trailingOnly = FALSE)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file_arg &lt;- grep("^--file=", args_all, value = TRUE)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script_dir &lt;- if (length(file_arg) == 1L) {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dirname(normalizePath(sub("^--file=", "", file_arg)))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} else {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normalizePath("week3")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}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data_dir &lt;- file.path(script_dir, "data_raw")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read_geo_counts &lt;- function(filename, annotation_columns = 6L) {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path &lt;- file.path(data_dir, filename)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stopifnot(file.exists(path))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table &lt;- read.delim(gzfile(path), check.names = FALSE, stringsAsFactors = FALSE)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counts &lt;- as.matrix(table[, seq.int(annotation_columns + 1L, ncol(table))])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storage.mode(counts) &lt;- "numeric"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list(annotation = table[, seq_len(annotation_columns), drop = FALSE], counts = counts)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}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is_integer_matrix &lt;- function(x) {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all(is.finite(x)) &amp;&amp; all(x &gt;= 0) &amp;&amp; all(x == floor(x))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}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# Part A: GSE146853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gse146853 &lt;- read_geo_counts("GSE146853_GeneCount_raw.txt.gz")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cat("GSE146853 genes:", nrow(gse146853$counts),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cat("GSE146853 samples:", ncol(gse146853$counts),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cat("GSE146853 non-negative integer counts:", is_integer_matrix(gse146853$counts), "\n\n")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# Part B: GSE87487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gse87487 &lt;- read_geo_counts("GSE87487_counts.20samples.txt.gz")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cat("GSE87487 genes:", nrow(gse87487$counts),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cat("GSE87487 samples:", ncol(gse87487$counts),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cat("GSE87487 non-negative integer counts:", is_integer_matrix(gse87487$counts),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sample_name &lt;- sub("^Sample_", "", colnames(gse87487$counts))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sample_name &lt;- sub("\\.bam$", "", sample_name)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subject &lt;- sub("(?i)bx[12]$", "", gsub("-", "", sample_name), perl = TRUE)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stage &lt;- ifelse(grepl("(?i)bx1$", sample_name, perl = TRUE), "pre", "post")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# IRI status was read from the GSE87487 GEO family metadata.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iri_positive_subjects &lt;- c("RJ", "Pt9", "Pt10", "Pt12")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iri &lt;- ifelse(subject %in% iri_positive_subjects, "positive", "negative")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sample_metadata &lt;- data.frame(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sample = sample_name,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subject = factor(subject),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stage = factor(stage, levels = c("pre", "post")),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iri = factor(iri, levels = c("negative", "positive")),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row.names = colnames(gse87487$counts)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pair_table &lt;- table(sample_metadata$subject, sample_metadata$stage)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cat("Subjects:", nrow(pair_table),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cat("Every subject has one pre and one post sample:", all(pair_table == 1L),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cat("IRI-positive pairs:", length(unique(subject[iri == "positive"])), "\n")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cat("IRI-negative pairs:", length(unique(subject[iri == "negative"])), "\n\n")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print(sample_metadata)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# Specific contrast for the homework: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# within the four IRI-positive subjects, post-reperfusion versus pre-reperfusion,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# while including subject in the design to preserve pairing.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if (requireNamespace("DESeq2", quietly = TRUE)) {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keep_samples &lt;- sample_metadata$iri == "positive"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counts_positive &lt;- gse87487$counts[, keep_samples, drop = FALSE]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metadata_positive &lt;- droplevels(sample_metadata[keep_samples, , drop = FALSE])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keep_genes &lt;- rowSums(counts_positive) &gt;= 10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counts_positive &lt;- round(counts_positive[keep_genes, , drop = FALSE])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dds &lt;- DESeq2::DESeqDataSetFromMatrix(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  countData = counts_positive,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  colData = metadata_positive,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  design = ~ subject + stage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dds &lt;- DESeq2::DESeq(dds)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result_post_vs_pre &lt;- DESeq2::results(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  dds,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  contrast = c("stage", "post", "pre"),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  alpha = 0.05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result_post_vs_pre &lt;- result_post_vs_pre[order(result_post_vs_pre$padj), ]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print(summary(result_post_vs_pre))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} else {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 xml:space="preserve">  message("DESeq2 is not installed; all input and pairing checks completed, but differential expression was not run.")</w:t>
      </w:r>
    </w:p>
    <w:p>
      <w:pPr>
        <w:spacing w:after="0" w:line="211" w:lineRule="auto"/>
      </w:pPr>
      <w:r>
        <w:rPr>
          <w:rFonts w:ascii="Menlo" w:hAnsi="Menlo" w:eastAsia="Menlo"/>
          <w:b w:val="0"/>
          <w:i w:val="0"/>
          <w:sz w:val="14"/>
        </w:rPr>
        <w:t>}</w:t>
      </w:r>
    </w:p>
    <w:sectPr>
      <w:headerReference r:id="rId8" w:type="default"/>
      <w:footerReference r:id="rId9" w:type="default"/>
      <w:footerReference w:type="first" r:id="rId6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Week 3 Homework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6" Type="http://schemas.openxmlformats.org/officeDocument/2006/relationships/footer" Target="footer2.xml"/><Relationship Id="rId10" Type="http://schemas.openxmlformats.org/officeDocument/2006/relationships/hyperlink" Target="https://www.ncbi.nlm.nih.gov/geo/query/acc.cgi?acc=GSE146853" TargetMode="External"/><Relationship Id="rId11" Type="http://schemas.openxmlformats.org/officeDocument/2006/relationships/hyperlink" Target="https://www.ncbi.nlm.nih.gov/geo/query/acc.cgi?acc=GSM4407870" TargetMode="External"/><Relationship Id="rId12" Type="http://schemas.openxmlformats.org/officeDocument/2006/relationships/hyperlink" Target="https://pubmed.ncbi.nlm.nih.gov/32916129/" TargetMode="External"/><Relationship Id="rId13" Type="http://schemas.openxmlformats.org/officeDocument/2006/relationships/hyperlink" Target="https://www.ncbi.nlm.nih.gov/geo/query/acc.cgi?acc=GSE87487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3 Homework — GEO Dataset Reconnaissance</dc:title>
  <cp:lastModifiedBy>python-docx</cp:lastModifiedBy>
  <cp:revision>1</cp:revision>
  <dcterms:modified xsi:type="dcterms:W3CDTF">2026-09-12T18:21:07Z</dcterms:modified>
  <dc:creator>Ye Gulin</dc:creator>
  <dc:subject>GSE146853 and GSE87487</dc:subject>
  <cp:keywords>GEO, RNA-seq, DESeq2, paired design</cp:keywords>
</cp:coreProperties>
</file>