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73E36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GREANLEAN</w:t>
            </w:r>
          </w:p>
        </w:tc>
      </w:tr>
    </w:tbl>
    <w:p>
      <w:pPr>
        <w:spacing w:after="720"/>
      </w:pPr>
    </w:p>
    <w:p>
      <w:pPr>
        <w:spacing w:after="240"/>
        <w:jc w:val="left"/>
      </w:pPr>
      <w:r>
        <w:rPr>
          <w:rFonts w:ascii="Noto Sans CJK SC" w:hAnsi="Noto Sans CJK SC" w:eastAsia="Noto Sans CJK SC"/>
          <w:b/>
          <w:color w:val="173E36"/>
          <w:sz w:val="52"/>
        </w:rPr>
        <w:t>Greanlean 电池护照平台需求调整与开发实施文档</w:t>
      </w:r>
    </w:p>
    <w:p>
      <w:pPr>
        <w:spacing w:after="600"/>
      </w:pPr>
      <w:r>
        <w:rPr>
          <w:rFonts w:ascii="Noto Sans CJK SC" w:hAnsi="Noto Sans CJK SC" w:eastAsia="Noto Sans CJK SC"/>
          <w:color w:val="60706A"/>
          <w:sz w:val="24"/>
        </w:rPr>
        <w:t>面向户用储能、LMT及中小型工业电池的商业化产品需求基线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8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9"/>
              </w:rPr>
              <w:t>文件属性</w:t>
            </w:r>
          </w:p>
        </w:tc>
        <w:tc>
          <w:tcPr>
            <w:tcW w:type="dxa" w:w="68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9"/>
              </w:rPr>
              <w:t>内部产品 / 研发 / 测试文档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9"/>
              </w:rPr>
              <w:t>版本</w:t>
            </w:r>
          </w:p>
        </w:tc>
        <w:tc>
          <w:tcPr>
            <w:tcW w:type="dxa" w:w="68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9"/>
              </w:rPr>
              <w:t>编制日期</w:t>
            </w:r>
          </w:p>
        </w:tc>
        <w:tc>
          <w:tcPr>
            <w:tcW w:type="dxa" w:w="68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9"/>
              </w:rPr>
              <w:t>2026年8月3日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9"/>
              </w:rPr>
              <w:t>适用范围</w:t>
            </w:r>
          </w:p>
        </w:tc>
        <w:tc>
          <w:tcPr>
            <w:tcW w:type="dxa" w:w="68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9"/>
              </w:rPr>
              <w:t>LMT电池、额定能量大于2 kWh的工业/储能电池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9"/>
              </w:rPr>
              <w:t>状态</w:t>
            </w:r>
          </w:p>
        </w:tc>
        <w:tc>
          <w:tcPr>
            <w:tcW w:type="dxa" w:w="680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9"/>
              </w:rPr>
              <w:t>工作基线；需随欧盟实施文件与语义目录更新</w:t>
            </w:r>
          </w:p>
        </w:tc>
      </w:tr>
    </w:tbl>
    <w:p>
      <w:pPr>
        <w:spacing w:after="20"/>
      </w:pPr>
    </w:p>
    <w:p>
      <w:pPr>
        <w:spacing w:after="600"/>
      </w:pPr>
    </w:p>
    <w:p>
      <w:r>
        <w:rPr>
          <w:rFonts w:ascii="Noto Sans CJK SC" w:hAnsi="Noto Sans CJK SC" w:eastAsia="Noto Sans CJK SC"/>
          <w:b/>
          <w:color w:val="C9A86A"/>
          <w:sz w:val="18"/>
        </w:rPr>
        <w:t>截至 2026-08-03</w:t>
      </w:r>
      <w:r>
        <w:rPr>
          <w:rFonts w:ascii="Noto Sans CJK SC" w:hAnsi="Noto Sans CJK SC"/>
        </w:rPr>
        <w:t xml:space="preserve">  |  青岛格林链数字科技有限公司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192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控制项</w:t>
            </w:r>
          </w:p>
        </w:tc>
        <w:tc>
          <w:tcPr>
            <w:tcW w:type="dxa" w:w="73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文件目的</w:t>
            </w:r>
          </w:p>
        </w:tc>
        <w:tc>
          <w:tcPr>
            <w:tcW w:type="dxa" w:w="73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把现有DPP展示与后台能力调整为可销售、可实施、可审计、可持续运维的电池护照产品，并形成研发优先级、验收标准和版本边界。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主要使用者</w:t>
            </w:r>
          </w:p>
        </w:tc>
        <w:tc>
          <w:tcPr>
            <w:tcW w:type="dxa" w:w="73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产品负责人、前端/后端开发、测试、实施顾问、法规顾问、销售与客户成功人员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版本管理</w:t>
            </w:r>
          </w:p>
        </w:tc>
        <w:tc>
          <w:tcPr>
            <w:tcW w:type="dxa" w:w="73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法规字段、访问权限、Registry语义目录或平台数据模型变化时升级版本。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事实边界</w:t>
            </w:r>
          </w:p>
        </w:tc>
        <w:tc>
          <w:tcPr>
            <w:tcW w:type="dxa" w:w="73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“法规要求”指已发布欧盟法规或官方实施文件；“待确定”指官方语义目录、访问权实施细则或产品级技术要求尚未最终可用；“实施建议”属于Greanlean产品设计，不等同于法定义务。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引用时点</w:t>
            </w:r>
          </w:p>
        </w:tc>
        <w:tc>
          <w:tcPr>
            <w:tcW w:type="dxa" w:w="73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欧盟官方信息及Greanlean公开页面状态截至2026年8月3日。</w:t>
            </w:r>
          </w:p>
        </w:tc>
      </w:tr>
    </w:tbl>
    <w:p>
      <w:pPr>
        <w:spacing w:after="20"/>
      </w:pPr>
    </w:p>
    <w:p>
      <w:pPr>
        <w:pStyle w:val="Heading1"/>
      </w:pPr>
      <w:r>
        <w:t>执行摘要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8F0ED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2F5D50"/>
              <w:left w:val="single" w:sz="8" w:color="2F5D50"/>
              <w:bottom w:val="single" w:sz="8" w:color="2F5D50"/>
              <w:right w:val="single" w:sz="8" w:color="2F5D50"/>
            </w:tcBorders>
          </w:tcPr>
          <w:p>
            <w:r>
              <w:rPr>
                <w:rFonts w:ascii="Noto Sans CJK SC" w:hAnsi="Noto Sans CJK SC" w:eastAsia="Noto Sans CJK SC"/>
                <w:b/>
                <w:color w:val="173E36"/>
                <w:sz w:val="21"/>
              </w:rPr>
              <w:t>核心结论：</w:t>
            </w:r>
            <w:r>
              <w:rPr>
                <w:rFonts w:ascii="Noto Sans CJK SC" w:hAnsi="Noto Sans CJK SC" w:eastAsia="Noto Sans CJK SC"/>
                <w:color w:val="27322F"/>
                <w:sz w:val="21"/>
              </w:rPr>
              <w:t>当前平台已经具备产品页面、二维码、PDF/JSON、证据、权限标签、运行数据和生命周期事件等基础能力；下一阶段不应继续横向扩行业，而应把“户储 + LMT电池单型号试点”做成完整成交与交付闭环。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P0目标：在不依赖最终电池语义目录的前提下，完成企业入驻、适用性评估、单体级身份、URL型UPI、资料采集、证据审核、版本发布和可追溯输出。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P1目标：完成多角色审批、字段级权限、BMS数据导入、Registry组织验证辅助、沙箱/预检和批量产品创建。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P2目标：完成供应商协同、ERP/MES/BMS接口、批量注册适配、商业套餐及规模化运维。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产品定位：平台帮助企业组织、校验、发布和维护数据，但不自动产生法规认证、碳足迹核查或第三方验证结论。</w:t>
      </w:r>
    </w:p>
    <w:p>
      <w:pPr>
        <w:pStyle w:val="Heading1"/>
      </w:pPr>
      <w:r>
        <w:t>1. 产品定位与范围</w:t>
      </w:r>
    </w:p>
    <w:p>
      <w:pPr>
        <w:pStyle w:val="Heading2"/>
      </w:pPr>
      <w:r>
        <w:t>1.1 目标客户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9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客户群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典型产品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产品策略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主攻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户用储能电池企业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5–30 kWh壁挂式、机架式、高压/低压户储，已出口或计划出口欧盟。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技术资料相对完整、产品&gt;2 kWh、便于形成BMS/系统接口增购。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副线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LMT电池包企业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电动自行车、滑板车、轻便摩托车及换电电池。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法规范围清晰、适合快速单型号试点。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扩展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中小型工业设备电池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叉车、AGV/AMR、高空作业平台、环卫及专用设备。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待户储/LMT形成2–3个真实案例后扩展。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暂缓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大型动力电池及整车集团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集团型、多工厂、长采购链项目。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现阶段销售周期和准入成本过高。</w:t>
            </w:r>
          </w:p>
        </w:tc>
      </w:tr>
    </w:tbl>
    <w:p>
      <w:pPr>
        <w:spacing w:after="20"/>
      </w:pPr>
    </w:p>
    <w:p>
      <w:pPr>
        <w:pStyle w:val="Heading2"/>
      </w:pPr>
      <w:r>
        <w:t>1.2 平台责任边界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平台负责：数据模板、字段条件、数据校验、证据关联、权限控制、版本发布、QR/UPI解析、机器可读输出、审计留痕和系统接口。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企业负责：原始数据真实性、合法来源、责任人确认、证据文件、持续更新以及其作为经济运营者的法规责任。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第三方负责：产品碳足迹核查、检测认证、材料声明核验、LCA、尽职调查审验等专业结论。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Registry负责：组织验证与DPP登记记录。平台不得在未获得官方URI时展示“官方注册成功”。</w:t>
      </w:r>
    </w:p>
    <w:p>
      <w:pPr>
        <w:pStyle w:val="Heading1"/>
      </w:pPr>
      <w:r>
        <w:t>2. 当前平台基线与必须调整项</w:t>
      </w:r>
    </w:p>
    <w:p>
      <w:r>
        <w:t>基线来源：greanlean.com首页及两个电池展示页。截至2026年8月3日，平台已经公开展示行业Schema、证据状态、权限标签、GTIN/SGTIN、PDF/JSON、运行数据、生命周期事件和Registry对接准备。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782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现有能力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已具备</w:t>
            </w:r>
          </w:p>
        </w:tc>
        <w:tc>
          <w:tcPr>
            <w:tcW w:type="dxa" w:w="782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统一产品页面、二维码、PDF与JSON同源输出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已具备</w:t>
            </w:r>
          </w:p>
        </w:tc>
        <w:tc>
          <w:tcPr>
            <w:tcW w:type="dxa" w:w="782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电池身份、材料、碳、性能、安全、运行、供应链、证据及生命周期分区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已具备</w:t>
            </w:r>
          </w:p>
        </w:tc>
        <w:tc>
          <w:tcPr>
            <w:tcW w:type="dxa" w:w="782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企业声明/文件支持/第三方验证/待补充/不适用等数据状态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已具备</w:t>
            </w:r>
          </w:p>
        </w:tc>
        <w:tc>
          <w:tcPr>
            <w:tcW w:type="dxa" w:w="782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公众、专业、监管等访问标签和BMS/EMS接口预留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已具备</w:t>
            </w:r>
          </w:p>
        </w:tc>
        <w:tc>
          <w:tcPr>
            <w:tcW w:type="dxa" w:w="782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版本、证据有效期、生命周期事件和审计表达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当前问题</w:t>
            </w:r>
          </w:p>
        </w:tc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调整要求</w:t>
            </w:r>
          </w:p>
        </w:tc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P0</w:t>
            </w:r>
          </w:p>
        </w:tc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首页与销售入口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仍以多行业平台展示为主。</w:t>
            </w:r>
          </w:p>
        </w:tc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首屏聚焦电池护照；增加“适用性评估”“单型号试点”“资料清单”入口。</w:t>
            </w:r>
          </w:p>
        </w:tc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客户能在3次点击内提交一个型号的资料评估申请。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P0</w:t>
            </w:r>
          </w:p>
        </w:tc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护照粒度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案例同时出现“单体序列号”与“型号级”，表达冲突。</w:t>
            </w:r>
          </w:p>
        </w:tc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模型数据与单体护照分层：Model为继承模板，BatteryItem为最终护照主体。</w:t>
            </w:r>
          </w:p>
        </w:tc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每个已发布电池护照必须绑定唯一item_id和序列号。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P0</w:t>
            </w:r>
          </w:p>
        </w:tc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唯一产品标识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现有DPP ID/GTIN/SGTIN未明确URL型UPI。</w:t>
            </w:r>
          </w:p>
        </w:tc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建立HTTPS可解析UPI；GTIN/SGTIN作为来源标识或业务标识，不替代UPI。</w:t>
            </w:r>
          </w:p>
        </w:tc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扫码后UPI可稳定解析，重定向不降级到HTTP。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P0</w:t>
            </w:r>
          </w:p>
        </w:tc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Registry状态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“Registry对接准备”需与“已注册”严格区分。</w:t>
            </w:r>
          </w:p>
        </w:tc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设置准备、预检、测试提交、生产提交、成功、失败等状态；成功必须保存官方URI。</w:t>
            </w:r>
          </w:p>
        </w:tc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无URI不得显示已注册。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P0</w:t>
            </w:r>
          </w:p>
        </w:tc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字段版本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法规字段、BatteryPass参考模型和平台字段易混用。</w:t>
            </w:r>
          </w:p>
        </w:tc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建立schema_source、schema_version、legal_basis、effective_date、mandatory_condition。</w:t>
            </w:r>
          </w:p>
        </w:tc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任一字段可追溯到来源和版本。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P0</w:t>
            </w:r>
          </w:p>
        </w:tc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数据一致性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展示数据可能出现功率/粒度等逻辑矛盾。</w:t>
            </w:r>
          </w:p>
        </w:tc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建立单位、范围、跨字段、计算公式和时间新鲜度校验。</w:t>
            </w:r>
          </w:p>
        </w:tc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发布前阻止关键冲突并输出错误定位。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P0</w:t>
            </w:r>
          </w:p>
        </w:tc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客户实施流程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缺少从评估到发布的工作台。</w:t>
            </w:r>
          </w:p>
        </w:tc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新增项目、任务、资料责任人、缺口清单、审核和验收。</w:t>
            </w:r>
          </w:p>
        </w:tc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可按项目查看完整率、阻塞项、责任人和交付物。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P1</w:t>
            </w:r>
          </w:p>
        </w:tc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字段级权限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当前为展示标签，正式规则仍需配置。</w:t>
            </w:r>
          </w:p>
        </w:tc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权限作为配置数据，不写死；保留公众/合法利益方/机构/内部层级。</w:t>
            </w:r>
          </w:p>
        </w:tc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字段返回由服务器鉴权，前端隐藏不视为权限控制。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P1</w:t>
            </w:r>
          </w:p>
        </w:tc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BMS数据治理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已有状态快照，但需规范来源和时序。</w:t>
            </w:r>
          </w:p>
        </w:tc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支持CSV/API导入、测量时间、来源设备、质量、单位、异常值、快照策略。</w:t>
            </w:r>
          </w:p>
        </w:tc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历史值不可覆盖，修正需保留版本。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P2</w:t>
            </w:r>
          </w:p>
        </w:tc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商业化管理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缺少套餐、项目工时和续费逻辑。</w:t>
            </w:r>
          </w:p>
        </w:tc>
        <w:tc>
          <w:tcPr>
            <w:tcW w:type="dxa" w:w="29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增加合同项目、套餐、SKU额度、服务期、增购和续费提醒。</w:t>
            </w:r>
          </w:p>
        </w:tc>
        <w:tc>
          <w:tcPr>
            <w:tcW w:type="dxa" w:w="249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5"/>
              </w:rPr>
              <w:t>能统计项目收入、交付工时和年度续费。</w:t>
            </w:r>
          </w:p>
        </w:tc>
      </w:tr>
    </w:tbl>
    <w:p>
      <w:pPr>
        <w:spacing w:after="20"/>
      </w:pPr>
    </w:p>
    <w:p>
      <w:pPr>
        <w:pStyle w:val="Heading1"/>
      </w:pPr>
      <w:r>
        <w:t>3. 目标端到端业务流程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主要输入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责任角色</w:t>
            </w:r>
          </w:p>
        </w:tc>
        <w:tc>
          <w:tcPr>
            <w:tcW w:type="dxa" w:w="357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平台动作/输出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状态门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01 线索与初评</w:t>
            </w:r>
          </w:p>
        </w:tc>
        <w:tc>
          <w:tcPr>
            <w:tcW w:type="dxa" w:w="2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企业、产品类别、欧盟市场、现有资料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销售/顾问</w:t>
            </w:r>
          </w:p>
        </w:tc>
        <w:tc>
          <w:tcPr>
            <w:tcW w:type="dxa" w:w="357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适用性初判；建立项目机会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待评估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02 项目立项</w:t>
            </w:r>
          </w:p>
        </w:tc>
        <w:tc>
          <w:tcPr>
            <w:tcW w:type="dxa" w:w="2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合同/试点范围、产品型号、责任人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项目经理</w:t>
            </w:r>
          </w:p>
        </w:tc>
        <w:tc>
          <w:tcPr>
            <w:tcW w:type="dxa" w:w="357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建立客户空间、任务、里程碑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已立项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03 适用性确认</w:t>
            </w:r>
          </w:p>
        </w:tc>
        <w:tc>
          <w:tcPr>
            <w:tcW w:type="dxa" w:w="2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用途、额定能量、投放主体、销售模式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法规/实施</w:t>
            </w:r>
          </w:p>
        </w:tc>
        <w:tc>
          <w:tcPr>
            <w:tcW w:type="dxa" w:w="357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确认LMT/EV/工业电池及责任角色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适用/不适用/待确认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04 粒度与标识</w:t>
            </w:r>
          </w:p>
        </w:tc>
        <w:tc>
          <w:tcPr>
            <w:tcW w:type="dxa" w:w="2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型号、批次、序列号、编码规则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产品/IT</w:t>
            </w:r>
          </w:p>
        </w:tc>
        <w:tc>
          <w:tcPr>
            <w:tcW w:type="dxa" w:w="357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确定Model-Batch-Item层级及UPI方案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身份方案已确认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05 数据采集</w:t>
            </w:r>
          </w:p>
        </w:tc>
        <w:tc>
          <w:tcPr>
            <w:tcW w:type="dxa" w:w="2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BOM、材料、证书、碳、性能、BMS等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各部门</w:t>
            </w:r>
          </w:p>
        </w:tc>
        <w:tc>
          <w:tcPr>
            <w:tcW w:type="dxa" w:w="357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按模板导入，自动形成缺口与责任人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采集中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06 证据与审核</w:t>
            </w:r>
          </w:p>
        </w:tc>
        <w:tc>
          <w:tcPr>
            <w:tcW w:type="dxa" w:w="2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声明、报告、记录、第三方文件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质量/法规</w:t>
            </w:r>
          </w:p>
        </w:tc>
        <w:tc>
          <w:tcPr>
            <w:tcW w:type="dxa" w:w="357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数据-证据关联，状态与有效期核验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待审核/退回/通过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07 护照生成</w:t>
            </w:r>
          </w:p>
        </w:tc>
        <w:tc>
          <w:tcPr>
            <w:tcW w:type="dxa" w:w="2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已审核数据、权限、语言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平台/项目经理</w:t>
            </w:r>
          </w:p>
        </w:tc>
        <w:tc>
          <w:tcPr>
            <w:tcW w:type="dxa" w:w="357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生成页面、二维码、PDF、JSON和发布快照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待发布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08 客户验收</w:t>
            </w:r>
          </w:p>
        </w:tc>
        <w:tc>
          <w:tcPr>
            <w:tcW w:type="dxa" w:w="2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展示、扫码、数据、权限、文件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客户/项目组</w:t>
            </w:r>
          </w:p>
        </w:tc>
        <w:tc>
          <w:tcPr>
            <w:tcW w:type="dxa" w:w="357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问题闭环并签署验收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已验收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09 Registry准备</w:t>
            </w:r>
          </w:p>
        </w:tc>
        <w:tc>
          <w:tcPr>
            <w:tcW w:type="dxa" w:w="2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EO组织资料、UPI、语义映射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EO/平台</w:t>
            </w:r>
          </w:p>
        </w:tc>
        <w:tc>
          <w:tcPr>
            <w:tcW w:type="dxa" w:w="357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组织验证辅助、预检、测试/正式提交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准备/提交/失败/成功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10 持续运维</w:t>
            </w:r>
          </w:p>
        </w:tc>
        <w:tc>
          <w:tcPr>
            <w:tcW w:type="dxa" w:w="204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证书、BMS、维修、再利用、回收事件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客户成功/企业</w:t>
            </w:r>
          </w:p>
        </w:tc>
        <w:tc>
          <w:tcPr>
            <w:tcW w:type="dxa" w:w="357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更新、续费、版本留痕和生命周期维护</w:t>
            </w:r>
          </w:p>
        </w:tc>
        <w:tc>
          <w:tcPr>
            <w:tcW w:type="dxa" w:w="13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在用/暂停/归档</w:t>
            </w:r>
          </w:p>
        </w:tc>
      </w:tr>
    </w:tbl>
    <w:p>
      <w:pPr>
        <w:spacing w:after="20"/>
      </w:pPr>
    </w:p>
    <w:p>
      <w:pPr>
        <w:pStyle w:val="Heading1"/>
      </w:pPr>
      <w:r>
        <w:t>4. 功能架构与详细需求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 w:val="true"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7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30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功能要求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关键业务规则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验收要点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M01 企业/租户与经济运营者档案</w:t>
            </w:r>
          </w:p>
        </w:tc>
        <w:tc>
          <w:tcPr>
            <w:tcW w:type="dxa" w:w="7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P0</w:t>
            </w:r>
          </w:p>
        </w:tc>
        <w:tc>
          <w:tcPr>
            <w:tcW w:type="dxa" w:w="30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多租户隔离；企业法定名称、地址、国家、标识类型和值、合规联系人、EU市场角色、组织验证状态。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组织信息与证书属性需可比对；企业数据不可跨租户访问。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企业可独立维护；导出Registry准备清单；完整率可视化。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M02 适用性评估与项目管理</w:t>
            </w:r>
          </w:p>
        </w:tc>
        <w:tc>
          <w:tcPr>
            <w:tcW w:type="dxa" w:w="7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P0</w:t>
            </w:r>
          </w:p>
        </w:tc>
        <w:tc>
          <w:tcPr>
            <w:tcW w:type="dxa" w:w="30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问卷判断电池类别、额定能量、用途、市场投放角色、目标日期；建立项目范围、任务和责任人。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系统只能给出“初步判断”，最终法律责任由企业/顾问确认。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生成适用性报告、缺口清单和实施计划。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M03 产品主数据与层级</w:t>
            </w:r>
          </w:p>
        </w:tc>
        <w:tc>
          <w:tcPr>
            <w:tcW w:type="dxa" w:w="7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P0</w:t>
            </w:r>
          </w:p>
        </w:tc>
        <w:tc>
          <w:tcPr>
            <w:tcW w:type="dxa" w:w="30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ProductModel、Batch、BatteryItem三级；型号继承，批次覆盖，单体动态数据独立。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电池护照发布主体默认Item；模型/批次数据不得造成单体标识冲突。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可从一个型号批量创建100个以内单体并导出。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M04 标识、UPI与二维码</w:t>
            </w:r>
          </w:p>
        </w:tc>
        <w:tc>
          <w:tcPr>
            <w:tcW w:type="dxa" w:w="7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P0</w:t>
            </w:r>
          </w:p>
        </w:tc>
        <w:tc>
          <w:tcPr>
            <w:tcW w:type="dxa" w:w="30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管理GTIN、SGTIN、内部序列号、UPI URL、二维码版本、域名与解析规则。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UPI必须HTTPS、全局唯一、可解析；标识变化需新版本，旧链接保持可追溯。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重复UPI阻断；二维码扫描可用率100%。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M05 法规字段与Schema引擎</w:t>
            </w:r>
          </w:p>
        </w:tc>
        <w:tc>
          <w:tcPr>
            <w:tcW w:type="dxa" w:w="7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P0</w:t>
            </w:r>
          </w:p>
        </w:tc>
        <w:tc>
          <w:tcPr>
            <w:tcW w:type="dxa" w:w="30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字段分组、数据类型、单位、条件、证据要求、访问级别、来源、版本和生效日期。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法规字段、官方语义目录、BatteryPass参考模型、自愿字段必须分层标记。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支持按产品类别加载模板并生成字段差距报告。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M06 BOM、组件、材料与物质</w:t>
            </w:r>
          </w:p>
        </w:tc>
        <w:tc>
          <w:tcPr>
            <w:tcW w:type="dxa" w:w="7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P0</w:t>
            </w:r>
          </w:p>
        </w:tc>
        <w:tc>
          <w:tcPr>
            <w:tcW w:type="dxa" w:w="30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电芯/模组/BMS/壳体/连接器等组件；质量、占比、化学体系、来源、关键原材料、关注物质。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质量占比允许部分未知但必须标明边界；总量校验阈值可配置。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支持Excel导入、供应商关联、证据附件和版本差异。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M07 可持续性、碳足迹与再生成分</w:t>
            </w:r>
          </w:p>
        </w:tc>
        <w:tc>
          <w:tcPr>
            <w:tcW w:type="dxa" w:w="7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P0/P1</w:t>
            </w:r>
          </w:p>
        </w:tc>
        <w:tc>
          <w:tcPr>
            <w:tcW w:type="dxa" w:w="30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碳足迹数值、功能单位、边界、方法、数据期、核查方、等级/类别；再生成分及证据。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未核查数据不得显示为第三方验证；条件未生效/不适用需留原因。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公开页展示数值同时展示方法、边界和验证状态。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M08 性能、耐久性与安全</w:t>
            </w:r>
          </w:p>
        </w:tc>
        <w:tc>
          <w:tcPr>
            <w:tcW w:type="dxa" w:w="7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P0</w:t>
            </w:r>
          </w:p>
        </w:tc>
        <w:tc>
          <w:tcPr>
            <w:tcW w:type="dxa" w:w="30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容量、能量、电压、功率、效率、循环/日历寿命、温度、内阻、安全与灭火信息。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单位统一；跨字段计算校验；测试值与声明值分开。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异常范围阻止发布；可关联测试报告。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M09 BMS运行与健康数据</w:t>
            </w:r>
          </w:p>
        </w:tc>
        <w:tc>
          <w:tcPr>
            <w:tcW w:type="dxa" w:w="7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P1</w:t>
            </w:r>
          </w:p>
        </w:tc>
        <w:tc>
          <w:tcPr>
            <w:tcW w:type="dxa" w:w="30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SOC、SOH、容量、循环次数、温度、内阻、功率能力、能量吞吐量、测量时间和来源。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数据为快照/事件而非秒级监控；测量值只追加，不直接覆盖；过期阈值可配置。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支持CSV和API；显示新鲜度、质量和异常。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M10 供应链与尽职调查</w:t>
            </w:r>
          </w:p>
        </w:tc>
        <w:tc>
          <w:tcPr>
            <w:tcW w:type="dxa" w:w="7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P1</w:t>
            </w:r>
          </w:p>
        </w:tc>
        <w:tc>
          <w:tcPr>
            <w:tcW w:type="dxa" w:w="30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供应商、设施、地点、采购/制造/运输事件、来源声明、尽调报告引用。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商业敏感信息按访问级别处理；未核验组织不得写成已验证供应商。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时间线可追溯，事件有来源和责任人。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M11 维修、拆卸、再利用与报废</w:t>
            </w:r>
          </w:p>
        </w:tc>
        <w:tc>
          <w:tcPr>
            <w:tcW w:type="dxa" w:w="7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P1</w:t>
            </w:r>
          </w:p>
        </w:tc>
        <w:tc>
          <w:tcPr>
            <w:tcW w:type="dxa" w:w="30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拆卸步骤、工具、防护、安全、备件、维修商、再利用/再制造/回收信息。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生命周期事件只追加；再利用/再制造后的新护照需与原护照建立关联。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可记录状态变更并生成关联链。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M12 证据中心</w:t>
            </w:r>
          </w:p>
        </w:tc>
        <w:tc>
          <w:tcPr>
            <w:tcW w:type="dxa" w:w="7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P0</w:t>
            </w:r>
          </w:p>
        </w:tc>
        <w:tc>
          <w:tcPr>
            <w:tcW w:type="dxa" w:w="30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文件类型、编号、签发方、签发/到期日、适用产品、哈希、版本、验证状态。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文件更新不得删除历史；敏感文件须鉴权下载；到期自动提醒。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每个关键数据可追溯到证据或责任声明。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M13 访问权限与数据投影</w:t>
            </w:r>
          </w:p>
        </w:tc>
        <w:tc>
          <w:tcPr>
            <w:tcW w:type="dxa" w:w="7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P1</w:t>
            </w:r>
          </w:p>
        </w:tc>
        <w:tc>
          <w:tcPr>
            <w:tcW w:type="dxa" w:w="30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公众、合法利益方/专业、监管/通知机构、企业内部；字段级策略。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服务器端鉴权；权限规则可随实施法更新；导出也执行同一权限。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未授权API返回受控错误，不能仅靠前端隐藏。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M14 审核、发布与版本</w:t>
            </w:r>
          </w:p>
        </w:tc>
        <w:tc>
          <w:tcPr>
            <w:tcW w:type="dxa" w:w="7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P0</w:t>
            </w:r>
          </w:p>
        </w:tc>
        <w:tc>
          <w:tcPr>
            <w:tcW w:type="dxa" w:w="30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提交、退回、批准、发布、撤回；字段变更比较；发布快照。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发布版本不可原地修改；更正生成新版本并保留原因。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可查看任一版本、审批人、时间和差异。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M15 页面、PDF、JSON与多语言</w:t>
            </w:r>
          </w:p>
        </w:tc>
        <w:tc>
          <w:tcPr>
            <w:tcW w:type="dxa" w:w="7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P0/P1</w:t>
            </w:r>
          </w:p>
        </w:tc>
        <w:tc>
          <w:tcPr>
            <w:tcW w:type="dxa" w:w="30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同一版本生成中英文页面、PDF、通用JSON和后续官方Schema输出。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所有端同源；翻译状态可追踪；机器可读输出不得包含无权限字段。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同版本字段一致性测试通过。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M16 Registry适配器</w:t>
            </w:r>
          </w:p>
        </w:tc>
        <w:tc>
          <w:tcPr>
            <w:tcW w:type="dxa" w:w="7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P1</w:t>
            </w:r>
          </w:p>
        </w:tc>
        <w:tc>
          <w:tcPr>
            <w:tcW w:type="dxa" w:w="30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组织验证准备、UPI/模型/批次标识、JSON/XML文件、提交记录、correlation ID、结果和URI。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当前电池语义目录未完成时禁用“生产成功”；官方URI是成功唯一依据。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支持测试环境配置、文件预检和错误报告。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M17 接口与批量导入</w:t>
            </w:r>
          </w:p>
        </w:tc>
        <w:tc>
          <w:tcPr>
            <w:tcW w:type="dxa" w:w="7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P1/P2</w:t>
            </w:r>
          </w:p>
        </w:tc>
        <w:tc>
          <w:tcPr>
            <w:tcW w:type="dxa" w:w="30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Excel/CSV模板、REST API、Webhook、BMS/EMS/ERP/MES/PLM适配。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接口鉴权、幂等、重试、数据来源和错误隔离。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批量失败可定位至行/字段；API有版本管理。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M18 运维、套餐与客户成功</w:t>
            </w:r>
          </w:p>
        </w:tc>
        <w:tc>
          <w:tcPr>
            <w:tcW w:type="dxa" w:w="73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P2</w:t>
            </w:r>
          </w:p>
        </w:tc>
        <w:tc>
          <w:tcPr>
            <w:tcW w:type="dxa" w:w="300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企业套餐、型号/单体额度、服务期限、工时、续费、增购、SLA与提醒。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商务信息与法规数据分域；不影响客户数据所有权。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4"/>
              </w:rPr>
              <w:t>可统计收入、续费、活跃护照和交付工时。</w:t>
            </w:r>
          </w:p>
        </w:tc>
      </w:tr>
    </w:tbl>
    <w:p>
      <w:pPr>
        <w:spacing w:after="20"/>
      </w:pPr>
    </w:p>
    <w:p>
      <w:pPr>
        <w:pStyle w:val="Heading1"/>
      </w:pPr>
      <w:r>
        <w:t>5. 核心数据模型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5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关系/规则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Organisation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客户企业/经济运营者主体</w:t>
            </w:r>
          </w:p>
        </w:tc>
        <w:tc>
          <w:tcPr>
            <w:tcW w:type="dxa" w:w="45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1:N User、Project、ProductModel、RegistrySubmission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EconomicOperatorProfile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EU市场角色、法定信息、合规联系人、验证材料</w:t>
            </w:r>
          </w:p>
        </w:tc>
        <w:tc>
          <w:tcPr>
            <w:tcW w:type="dxa" w:w="45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1:1 Organisation，可多角色版本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Project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一次评估/试点/全量实施</w:t>
            </w:r>
          </w:p>
        </w:tc>
        <w:tc>
          <w:tcPr>
            <w:tcW w:type="dxa" w:w="45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关联范围、任务、里程碑、交付物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ProductModel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型号级共性数据</w:t>
            </w:r>
          </w:p>
        </w:tc>
        <w:tc>
          <w:tcPr>
            <w:tcW w:type="dxa" w:w="45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1:N Batch、1:N BatteryItem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Batch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生产批次和批次差异</w:t>
            </w:r>
          </w:p>
        </w:tc>
        <w:tc>
          <w:tcPr>
            <w:tcW w:type="dxa" w:w="45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可选；1:N BatteryItem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BatteryItem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单体电池护照主体</w:t>
            </w:r>
          </w:p>
        </w:tc>
        <w:tc>
          <w:tcPr>
            <w:tcW w:type="dxa" w:w="45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唯一序列号、UPI、状态、当前发布版本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Component/BOMLine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组件和材料层级</w:t>
            </w:r>
          </w:p>
        </w:tc>
        <w:tc>
          <w:tcPr>
            <w:tcW w:type="dxa" w:w="45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可递归组成；关联Supplier、Material、Evidence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FieldDefinition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法规/参考/自愿字段定义</w:t>
            </w:r>
          </w:p>
        </w:tc>
        <w:tc>
          <w:tcPr>
            <w:tcW w:type="dxa" w:w="45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版本、条件、单位、权限、来源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FieldValue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具体产品字段值</w:t>
            </w:r>
          </w:p>
        </w:tc>
        <w:tc>
          <w:tcPr>
            <w:tcW w:type="dxa" w:w="45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值、单位、声明方、状态、证据、有效期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Evidence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证书、报告、声明、记录</w:t>
            </w:r>
          </w:p>
        </w:tc>
        <w:tc>
          <w:tcPr>
            <w:tcW w:type="dxa" w:w="45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适用范围、签发方、哈希、状态、版本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Measurement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BMS/运行时序数据</w:t>
            </w:r>
          </w:p>
        </w:tc>
        <w:tc>
          <w:tcPr>
            <w:tcW w:type="dxa" w:w="45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item、指标、时间、值、来源、质量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LifecycleEvent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维修、检查、再利用、报废等事件</w:t>
            </w:r>
          </w:p>
        </w:tc>
        <w:tc>
          <w:tcPr>
            <w:tcW w:type="dxa" w:w="45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只追加；可关联新旧护照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PassportVersion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一次不可变发布快照</w:t>
            </w:r>
          </w:p>
        </w:tc>
        <w:tc>
          <w:tcPr>
            <w:tcW w:type="dxa" w:w="45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字段值、权限、语言、输出文件、审批记录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RegistrySubmission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Registry提交与返回</w:t>
            </w:r>
          </w:p>
        </w:tc>
        <w:tc>
          <w:tcPr>
            <w:tcW w:type="dxa" w:w="45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环境、文件、correlation ID、结果、URI、错误</w:t>
            </w:r>
          </w:p>
        </w:tc>
      </w:tr>
    </w:tbl>
    <w:p>
      <w:pPr>
        <w:spacing w:after="20"/>
      </w:pPr>
    </w:p>
    <w:p>
      <w:pPr>
        <w:pStyle w:val="Heading1"/>
      </w:pPr>
      <w:r>
        <w:t>6. 状态、校验与审计规则</w:t>
      </w:r>
    </w:p>
    <w:p>
      <w:pPr>
        <w:pStyle w:val="Heading2"/>
      </w:pPr>
      <w:r>
        <w:t>6.1 数据状态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46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系统要求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待补充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字段适用但没有可用数据</w:t>
            </w:r>
          </w:p>
        </w:tc>
        <w:tc>
          <w:tcPr>
            <w:tcW w:type="dxa" w:w="46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不得作为完整字段通过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企业声明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由责任企业确认，尚无外部证据</w:t>
            </w:r>
          </w:p>
        </w:tc>
        <w:tc>
          <w:tcPr>
            <w:tcW w:type="dxa" w:w="46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必须记录声明人和时间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文件支持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由报告/记录/声明文件支持</w:t>
            </w:r>
          </w:p>
        </w:tc>
        <w:tc>
          <w:tcPr>
            <w:tcW w:type="dxa" w:w="46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证据在有效期且适用范围匹配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第三方验证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独立机构已核查</w:t>
            </w:r>
          </w:p>
        </w:tc>
        <w:tc>
          <w:tcPr>
            <w:tcW w:type="dxa" w:w="46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必须记录机构、范围、日期、证据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不适用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按类别/条件判断无需提供</w:t>
            </w:r>
          </w:p>
        </w:tc>
        <w:tc>
          <w:tcPr>
            <w:tcW w:type="dxa" w:w="46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必须填写理由和判断人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待确认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法规/责任/数据边界未确认</w:t>
            </w:r>
          </w:p>
        </w:tc>
        <w:tc>
          <w:tcPr>
            <w:tcW w:type="dxa" w:w="464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发布门禁可配置</w:t>
            </w:r>
          </w:p>
        </w:tc>
      </w:tr>
    </w:tbl>
    <w:p>
      <w:pPr>
        <w:spacing w:after="20"/>
      </w:pPr>
    </w:p>
    <w:p>
      <w:pPr>
        <w:pStyle w:val="Heading2"/>
      </w:pPr>
      <w:r>
        <w:t>6.2 发布门禁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门禁</w:t>
            </w:r>
          </w:p>
        </w:tc>
        <w:tc>
          <w:tcPr>
            <w:tcW w:type="dxa" w:w="725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身份门禁</w:t>
            </w:r>
          </w:p>
        </w:tc>
        <w:tc>
          <w:tcPr>
            <w:tcW w:type="dxa" w:w="725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企业、产品类别、型号、item序列号、UPI、责任主体完整且唯一。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法规门禁</w:t>
            </w:r>
          </w:p>
        </w:tc>
        <w:tc>
          <w:tcPr>
            <w:tcW w:type="dxa" w:w="725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所有当前适用的关键字段具有有效值或明确“不适用”理由。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证据门禁</w:t>
            </w:r>
          </w:p>
        </w:tc>
        <w:tc>
          <w:tcPr>
            <w:tcW w:type="dxa" w:w="725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需要证据的字段已关联文件；过期文件不能作为有效支持。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一致性门禁</w:t>
            </w:r>
          </w:p>
        </w:tc>
        <w:tc>
          <w:tcPr>
            <w:tcW w:type="dxa" w:w="725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电压×容量与额定能量、质量占比、功率上限、日期顺序、单位等校验通过。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权限门禁</w:t>
            </w:r>
          </w:p>
        </w:tc>
        <w:tc>
          <w:tcPr>
            <w:tcW w:type="dxa" w:w="725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公众输出不包含受限字段；受限导出必须鉴权。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版本门禁</w:t>
            </w:r>
          </w:p>
        </w:tc>
        <w:tc>
          <w:tcPr>
            <w:tcW w:type="dxa" w:w="725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审核批准后生成不可变快照；后续修改进入新草稿。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Registry门禁</w:t>
            </w:r>
          </w:p>
        </w:tc>
        <w:tc>
          <w:tcPr>
            <w:tcW w:type="dxa" w:w="725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只有官方返回URI才更新为“已注册”；失败须保留完整错误。</w:t>
            </w:r>
          </w:p>
        </w:tc>
      </w:tr>
    </w:tbl>
    <w:p>
      <w:pPr>
        <w:spacing w:after="20"/>
      </w:pPr>
    </w:p>
    <w:p>
      <w:pPr>
        <w:pStyle w:val="Heading2"/>
      </w:pPr>
      <w:r>
        <w:t>6.3 典型自动校验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规则编号</w:t>
            </w:r>
          </w:p>
        </w:tc>
        <w:tc>
          <w:tcPr>
            <w:tcW w:type="dxa" w:w="595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校验内容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ID-001</w:t>
            </w:r>
          </w:p>
        </w:tc>
        <w:tc>
          <w:tcPr>
            <w:tcW w:type="dxa" w:w="595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UPI必须唯一且以https://开头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阻断发布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ID-002</w:t>
            </w:r>
          </w:p>
        </w:tc>
        <w:tc>
          <w:tcPr>
            <w:tcW w:type="dxa" w:w="595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单体序列号在同一企业内不可重复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阻断发布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BAT-001</w:t>
            </w:r>
          </w:p>
        </w:tc>
        <w:tc>
          <w:tcPr>
            <w:tcW w:type="dxa" w:w="595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额定能量≈标称电压×额定容量/1000，允许配置误差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警告/阻断可配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BAT-002</w:t>
            </w:r>
          </w:p>
        </w:tc>
        <w:tc>
          <w:tcPr>
            <w:tcW w:type="dxa" w:w="595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运行剩余功率不得无解释地超过产品允许最大功率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阻断或要求字段说明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MAT-001</w:t>
            </w:r>
          </w:p>
        </w:tc>
        <w:tc>
          <w:tcPr>
            <w:tcW w:type="dxa" w:w="595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已填材料质量占比合计不应超过100%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阻断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EVD-001</w:t>
            </w:r>
          </w:p>
        </w:tc>
        <w:tc>
          <w:tcPr>
            <w:tcW w:type="dxa" w:w="595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证据到期或适用型号不匹配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阻断关键字段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TIM-001</w:t>
            </w:r>
          </w:p>
        </w:tc>
        <w:tc>
          <w:tcPr>
            <w:tcW w:type="dxa" w:w="595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测量时间不得晚于导入时间过多；制造/投用/维修日期顺序合理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警告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REG-001</w:t>
            </w:r>
          </w:p>
        </w:tc>
        <w:tc>
          <w:tcPr>
            <w:tcW w:type="dxa" w:w="595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Registry成功状态必须有URI和官方返回记录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阻断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PUB-001</w:t>
            </w:r>
          </w:p>
        </w:tc>
        <w:tc>
          <w:tcPr>
            <w:tcW w:type="dxa" w:w="5953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页面/PDF/JSON的版本号和更新时间一致</w:t>
            </w:r>
          </w:p>
        </w:tc>
        <w:tc>
          <w:tcPr>
            <w:tcW w:type="dxa" w:w="181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阻断</w:t>
            </w:r>
          </w:p>
        </w:tc>
      </w:tr>
    </w:tbl>
    <w:p>
      <w:pPr>
        <w:spacing w:after="20"/>
      </w:pPr>
    </w:p>
    <w:p>
      <w:pPr>
        <w:pStyle w:val="Heading1"/>
      </w:pPr>
      <w:r>
        <w:t>7. 权限与数据安全设计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典型用户</w:t>
            </w:r>
          </w:p>
        </w:tc>
        <w:tc>
          <w:tcPr>
            <w:tcW w:type="dxa" w:w="357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数据范围</w:t>
            </w:r>
          </w:p>
        </w:tc>
        <w:tc>
          <w:tcPr>
            <w:tcW w:type="dxa" w:w="221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控制方式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公众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消费者、一般访问者</w:t>
            </w:r>
          </w:p>
        </w:tc>
        <w:tc>
          <w:tcPr>
            <w:tcW w:type="dxa" w:w="357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产品身份、基础技术、公开可持续性、维修回收等依法公开信息</w:t>
            </w:r>
          </w:p>
        </w:tc>
        <w:tc>
          <w:tcPr>
            <w:tcW w:type="dxa" w:w="221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匿名扫码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专业/合法利益方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维修、再利用、回收、供应链等授权主体</w:t>
            </w:r>
          </w:p>
        </w:tc>
        <w:tc>
          <w:tcPr>
            <w:tcW w:type="dxa" w:w="357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运行健康、拆卸、安全、受限供应链或维修数据</w:t>
            </w:r>
          </w:p>
        </w:tc>
        <w:tc>
          <w:tcPr>
            <w:tcW w:type="dxa" w:w="221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账号、组织、产品授权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监管/通知机构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市场监管、主管机关、通知机构等</w:t>
            </w:r>
          </w:p>
        </w:tc>
        <w:tc>
          <w:tcPr>
            <w:tcW w:type="dxa" w:w="357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法规规定的机构专属信息和证据</w:t>
            </w:r>
          </w:p>
        </w:tc>
        <w:tc>
          <w:tcPr>
            <w:tcW w:type="dxa" w:w="221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强化身份、最小权限、审计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企业内部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客户项目、质量、研发、IT</w:t>
            </w:r>
          </w:p>
        </w:tc>
        <w:tc>
          <w:tcPr>
            <w:tcW w:type="dxa" w:w="357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草稿、缺口、商业敏感数据、审核与配置</w:t>
            </w:r>
          </w:p>
        </w:tc>
        <w:tc>
          <w:tcPr>
            <w:tcW w:type="dxa" w:w="221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租户角色与部门权限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Greanlean运维</w:t>
            </w:r>
          </w:p>
        </w:tc>
        <w:tc>
          <w:tcPr>
            <w:tcW w:type="dxa" w:w="19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平台受控运维人员</w:t>
            </w:r>
          </w:p>
        </w:tc>
        <w:tc>
          <w:tcPr>
            <w:tcW w:type="dxa" w:w="357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仅为支持所需的最小权限</w:t>
            </w:r>
          </w:p>
        </w:tc>
        <w:tc>
          <w:tcPr>
            <w:tcW w:type="dxa" w:w="221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工单授权、操作留痕、敏感下载限制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传输全程HTTPS；敏感文件对象存储加密；密钥、文件和数据库分层管理。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关键操作（导出、发布、权限、Registry提交、删除/归档）写入不可篡改审计日志。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数据删除采用软删除+保留策略；发布版本和法规审计材料不得随意物理删除。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支持客户数据导出和迁移，避免技术性锁定；服务终止后按合同执行可用性和移交。</w:t>
      </w:r>
    </w:p>
    <w:p>
      <w:pPr>
        <w:pStyle w:val="Heading1"/>
      </w:pPr>
      <w:r>
        <w:t>8.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可用性</w:t>
            </w:r>
          </w:p>
        </w:tc>
        <w:tc>
          <w:tcPr>
            <w:tcW w:type="dxa" w:w="7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正式环境月可用性目标≥99.5%；公共护照解析独立于后台管理端。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性能</w:t>
            </w:r>
          </w:p>
        </w:tc>
        <w:tc>
          <w:tcPr>
            <w:tcW w:type="dxa" w:w="7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公共页面P95首屏≤3秒；单个JSON响应≤2秒（常规数据量）；批量导入异步处理。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容量</w:t>
            </w:r>
          </w:p>
        </w:tc>
        <w:tc>
          <w:tcPr>
            <w:tcW w:type="dxa" w:w="7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P0支持每租户10万BatteryItem；时序数据按冷热分层，避免与主数据同表膨胀。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备份</w:t>
            </w:r>
          </w:p>
        </w:tc>
        <w:tc>
          <w:tcPr>
            <w:tcW w:type="dxa" w:w="7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数据库每日全量+持续增量；证据文件多副本；定期恢复演练。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国际化</w:t>
            </w:r>
          </w:p>
        </w:tc>
        <w:tc>
          <w:tcPr>
            <w:tcW w:type="dxa" w:w="7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中文/英文为P0/P1；字段值、单位、日期、时区和翻译状态可配置。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可访问性</w:t>
            </w:r>
          </w:p>
        </w:tc>
        <w:tc>
          <w:tcPr>
            <w:tcW w:type="dxa" w:w="7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二维码页面兼容移动端；图表有文本值；基础WCAG可访问性。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可维护性</w:t>
            </w:r>
          </w:p>
        </w:tc>
        <w:tc>
          <w:tcPr>
            <w:tcW w:type="dxa" w:w="7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法规字段配置化；API版本化；生产配置与代码分离；关键任务可重放。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监控</w:t>
            </w:r>
          </w:p>
        </w:tc>
        <w:tc>
          <w:tcPr>
            <w:tcW w:type="dxa" w:w="748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8"/>
              </w:rPr>
              <w:t>UPI解析、页面错误、导入失败、证据过期、Registry错误和数据新鲜度告警。</w:t>
            </w:r>
          </w:p>
        </w:tc>
      </w:tr>
    </w:tbl>
    <w:p>
      <w:pPr>
        <w:spacing w:after="20"/>
      </w:pPr>
    </w:p>
    <w:p>
      <w:pPr>
        <w:pStyle w:val="Heading1"/>
      </w:pPr>
      <w:r>
        <w:t>9. 12周开发与发布计划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周期</w:t>
            </w:r>
          </w:p>
        </w:tc>
        <w:tc>
          <w:tcPr>
            <w:tcW w:type="dxa" w:w="14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里程碑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交付结果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第1–2周</w:t>
            </w:r>
          </w:p>
        </w:tc>
        <w:tc>
          <w:tcPr>
            <w:tcW w:type="dxa" w:w="14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P0-基础整改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首页电池聚焦；案例粒度/数据矛盾修复；演示数据声明；数据模型冻结；项目/企业基础。</w:t>
            </w:r>
          </w:p>
        </w:tc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可销售的演示与项目空间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第3–4周</w:t>
            </w:r>
          </w:p>
        </w:tc>
        <w:tc>
          <w:tcPr>
            <w:tcW w:type="dxa" w:w="14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P0-身份与采集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Model/Batch/Item；UPI URL；Excel模板；字段条件；缺口清单。</w:t>
            </w:r>
          </w:p>
        </w:tc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完成一个真实型号建模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第5–6周</w:t>
            </w:r>
          </w:p>
        </w:tc>
        <w:tc>
          <w:tcPr>
            <w:tcW w:type="dxa" w:w="14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P0-证据与发布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证据中心；审核；版本快照；页面/PDF/JSON一致性；发布门禁。</w:t>
            </w:r>
          </w:p>
        </w:tc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完成首个客户试点交付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第7–8周</w:t>
            </w:r>
          </w:p>
        </w:tc>
        <w:tc>
          <w:tcPr>
            <w:tcW w:type="dxa" w:w="14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P1-权限与BMS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字段级权限；CSV/API运行数据；新鲜度；生命周期事件。</w:t>
            </w:r>
          </w:p>
        </w:tc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户储/LMT高级演示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第9–10周</w:t>
            </w:r>
          </w:p>
        </w:tc>
        <w:tc>
          <w:tcPr>
            <w:tcW w:type="dxa" w:w="14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P1-Registry准备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组织资料清单；UPI预检；测试环境配置；JSON/XML文件；错误记录。</w:t>
            </w:r>
          </w:p>
        </w:tc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Registry-ready，不虚构成功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第11–12周</w:t>
            </w:r>
          </w:p>
        </w:tc>
        <w:tc>
          <w:tcPr>
            <w:tcW w:type="dxa" w:w="14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P2-批量与商业化</w:t>
            </w:r>
          </w:p>
        </w:tc>
        <w:tc>
          <w:tcPr>
            <w:tcW w:type="dxa" w:w="408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批量单体、供应商协同初版、套餐/额度/续费、运营看板。</w:t>
            </w:r>
          </w:p>
        </w:tc>
        <w:tc>
          <w:tcPr>
            <w:tcW w:type="dxa" w:w="22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支持3–5家并行客户</w:t>
            </w:r>
          </w:p>
        </w:tc>
      </w:tr>
    </w:tbl>
    <w:p>
      <w:pPr>
        <w:spacing w:after="20"/>
      </w:pPr>
    </w:p>
    <w:p>
      <w:pPr>
        <w:pStyle w:val="Heading1"/>
      </w:pPr>
      <w:r>
        <w:t>10. 测试与验收用例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8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用例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567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T01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创建户储型号并批量生成10个单体</w:t>
            </w:r>
          </w:p>
        </w:tc>
        <w:tc>
          <w:tcPr>
            <w:tcW w:type="dxa" w:w="567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每个单体UPI、序列号唯一，继承型号数据。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T02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导入BOM与材料</w:t>
            </w:r>
          </w:p>
        </w:tc>
        <w:tc>
          <w:tcPr>
            <w:tcW w:type="dxa" w:w="567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质量占比、单位、供应商和证据映射正确，错误行可定位。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T03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缺少关键证据尝试发布</w:t>
            </w:r>
          </w:p>
        </w:tc>
        <w:tc>
          <w:tcPr>
            <w:tcW w:type="dxa" w:w="567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系统阻断并列出字段、责任人和所需证据。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T04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修改已发布额定容量</w:t>
            </w:r>
          </w:p>
        </w:tc>
        <w:tc>
          <w:tcPr>
            <w:tcW w:type="dxa" w:w="567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原版本不变，新草稿记录差异和修改原因。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T05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公众扫码访问</w:t>
            </w:r>
          </w:p>
        </w:tc>
        <w:tc>
          <w:tcPr>
            <w:tcW w:type="dxa" w:w="567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只返回公众字段；页面、PDF、JSON版本一致。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T06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未授权访问专业数据</w:t>
            </w:r>
          </w:p>
        </w:tc>
        <w:tc>
          <w:tcPr>
            <w:tcW w:type="dxa" w:w="567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页面/API均拒绝，审计日志记录。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T07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运行数据导入</w:t>
            </w:r>
          </w:p>
        </w:tc>
        <w:tc>
          <w:tcPr>
            <w:tcW w:type="dxa" w:w="567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按时间追加；重复请求幂等；过期状态正确。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T08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Registry提交失败</w:t>
            </w:r>
          </w:p>
        </w:tc>
        <w:tc>
          <w:tcPr>
            <w:tcW w:type="dxa" w:w="567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保存correlation ID、原文件、错误详情；状态不显示成功。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T09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收到官方URI</w:t>
            </w:r>
          </w:p>
        </w:tc>
        <w:tc>
          <w:tcPr>
            <w:tcW w:type="dxa" w:w="567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状态切换已注册，绑定UPI/URI/时间/环境。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T10</w:t>
            </w:r>
          </w:p>
        </w:tc>
        <w:tc>
          <w:tcPr>
            <w:tcW w:type="dxa" w:w="283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证据到期</w:t>
            </w:r>
          </w:p>
        </w:tc>
        <w:tc>
          <w:tcPr>
            <w:tcW w:type="dxa" w:w="567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7"/>
              </w:rPr>
              <w:t>提前提醒，过期后影响完整率和发布资格。</w:t>
            </w:r>
          </w:p>
        </w:tc>
      </w:tr>
    </w:tbl>
    <w:p>
      <w:pPr>
        <w:spacing w:after="20"/>
      </w:pPr>
    </w:p>
    <w:p>
      <w:pPr>
        <w:pStyle w:val="Heading1"/>
      </w:pPr>
      <w:r>
        <w:t>11. 风险、假设与待决策事项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F5D50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应对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高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电池语义目录和访问权细则仍在演进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字段及权限写死导致返工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Schema配置化；维护法规版本；生产注册功能用Feature Flag。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高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中国制造商与欧盟经济运营者角色未在项目中厘清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无法完成组织验证或责任不清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项目启动必须确认投放主体、进口商/授权代表及注册责任。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高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客户碳、再生成分和供应链数据缺失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试点无法达到完整状态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先做差距评估；允许“待补充”，但不伪造完整/核查结论。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中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客户将DPP等同于认证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范围蔓延和责任风险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合同、页面和报告明确平台边界。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中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单体数量大导致成本失控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数据库和运维压力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型号继承、批量创建、冷热数据、套餐额度。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中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数据源多且质量不一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不一致和审计失败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3F5F4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数据来源、责任人、证据、时间、质量等级必填。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低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多语言翻译不一致</w:t>
            </w:r>
          </w:p>
        </w:tc>
        <w:tc>
          <w:tcPr>
            <w:tcW w:type="dxa" w:w="255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页面与JSON语义偏差</w:t>
            </w:r>
          </w:p>
        </w:tc>
        <w:tc>
          <w:tcPr>
            <w:tcW w:type="dxa" w:w="340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color w:val="27322F"/>
                <w:sz w:val="16"/>
              </w:rPr>
              <w:t>字段标识稳定，翻译作为独立资源并审核。</w:t>
            </w:r>
          </w:p>
        </w:tc>
      </w:tr>
    </w:tbl>
    <w:p>
      <w:pPr>
        <w:spacing w:after="20"/>
      </w:pPr>
    </w:p>
    <w:p>
      <w:pPr>
        <w:pStyle w:val="Heading1"/>
      </w:pPr>
      <w:r>
        <w:t>12. 首版发布定义（Definition of Done）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可从一个真实客户的产品资料创建企业、项目、型号、批次（可选）和单体护照。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单体具有唯一HTTPS UPI，可通过二维码解析，页面/PDF/JSON同源。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关键字段有条件、单位、来源、证据、状态和责任人；缺口可导出。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审核发布形成不可变版本，所有更正和生命周期事件留痕。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公众与受限数据由服务端执行权限控制。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Registry模块支持组织资料准备、UPI预检和提交记录；不在官方不可用时宣称已注册。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完成至少1个户储和1个LMT数据样例的端到端回归测试。</w:t>
      </w:r>
    </w:p>
    <w:p>
      <w:pPr>
        <w:pStyle w:val="Heading1"/>
      </w:pPr>
      <w:r>
        <w:t>参考依据与版本跟踪</w:t>
      </w:r>
    </w:p>
    <w:p>
      <w:r>
        <w:rPr>
          <w:rFonts w:ascii="Noto Sans CJK SC" w:hAnsi="Noto Sans CJK SC" w:eastAsia="Noto Sans CJK SC"/>
          <w:b/>
          <w:color w:val="173E36"/>
          <w:sz w:val="21"/>
        </w:rPr>
        <w:t>1. Regulation (EU) 2023/1542 concerning batteries and waste batteries</w:t>
      </w:r>
      <w:r>
        <w:rPr>
          <w:rFonts w:ascii="Noto Sans CJK SC" w:hAnsi="Noto Sans CJK SC"/>
        </w:rPr>
        <w:t xml:space="preserve"> — 重点：Article 77、Article 78、Annex XIII，以及与碳足迹、再生材料、性能耐久、BMS数据相关条款。 </w:t>
      </w:r>
      <w:hyperlink r:id="rId11">
        <w:r>
          <w:rPr>
            <w:color w:val="3E6478"/>
            <w:u w:val="single"/>
            <w:rFonts w:ascii="Noto Sans CJK SC" w:hAnsi="Noto Sans CJK SC" w:eastAsia="Noto Sans CJK SC"/>
            <w:sz w:val="18"/>
          </w:rPr>
          <w:t>[官方/项目链接]</w:t>
        </w:r>
      </w:hyperlink>
    </w:p>
    <w:p>
      <w:r>
        <w:rPr>
          <w:rFonts w:ascii="Noto Sans CJK SC" w:hAnsi="Noto Sans CJK SC" w:eastAsia="Noto Sans CJK SC"/>
          <w:b/>
          <w:color w:val="173E36"/>
          <w:sz w:val="21"/>
        </w:rPr>
        <w:t>2. Commission Implementing Regulation (EU) 2026/1778</w:t>
      </w:r>
      <w:r>
        <w:rPr>
          <w:rFonts w:ascii="Noto Sans CJK SC" w:hAnsi="Noto Sans CJK SC"/>
        </w:rPr>
        <w:t xml:space="preserve"> — DPP Registry运行、组织验证、标识登记、数据交换和访问管理安排。 </w:t>
      </w:r>
      <w:hyperlink r:id="rId12">
        <w:r>
          <w:rPr>
            <w:color w:val="3E6478"/>
            <w:u w:val="single"/>
            <w:rFonts w:ascii="Noto Sans CJK SC" w:hAnsi="Noto Sans CJK SC" w:eastAsia="Noto Sans CJK SC"/>
            <w:sz w:val="18"/>
          </w:rPr>
          <w:t>[官方/项目链接]</w:t>
        </w:r>
      </w:hyperlink>
    </w:p>
    <w:p>
      <w:r>
        <w:rPr>
          <w:rFonts w:ascii="Noto Sans CJK SC" w:hAnsi="Noto Sans CJK SC" w:eastAsia="Noto Sans CJK SC"/>
          <w:b/>
          <w:color w:val="173E36"/>
          <w:sz w:val="21"/>
        </w:rPr>
        <w:t>3. DPP Registry User Guide for Economic Operators（2026-07）</w:t>
      </w:r>
      <w:r>
        <w:rPr>
          <w:rFonts w:ascii="Noto Sans CJK SC" w:hAnsi="Noto Sans CJK SC"/>
        </w:rPr>
        <w:t xml:space="preserve"> — 组织注册验证、QSeal/QES、UPI、模型/批次/单体粒度、JSON/XML批量提交及当前电池注册可用性说明。 </w:t>
      </w:r>
      <w:hyperlink r:id="rId13">
        <w:r>
          <w:rPr>
            <w:color w:val="3E6478"/>
            <w:u w:val="single"/>
            <w:rFonts w:ascii="Noto Sans CJK SC" w:hAnsi="Noto Sans CJK SC" w:eastAsia="Noto Sans CJK SC"/>
            <w:sz w:val="18"/>
          </w:rPr>
          <w:t>[官方/项目链接]</w:t>
        </w:r>
      </w:hyperlink>
    </w:p>
    <w:p>
      <w:r>
        <w:rPr>
          <w:rFonts w:ascii="Noto Sans CJK SC" w:hAnsi="Noto Sans CJK SC" w:eastAsia="Noto Sans CJK SC"/>
          <w:b/>
          <w:color w:val="173E36"/>
          <w:sz w:val="21"/>
        </w:rPr>
        <w:t>4. European Commission - Batteries / Digital Product Passport</w:t>
      </w:r>
      <w:r>
        <w:rPr>
          <w:rFonts w:ascii="Noto Sans CJK SC" w:hAnsi="Noto Sans CJK SC"/>
        </w:rPr>
        <w:t xml:space="preserve"> — 适用对象、责任主体、二维码、分散式数据托管及实施时间。 </w:t>
      </w:r>
      <w:hyperlink r:id="rId14">
        <w:r>
          <w:rPr>
            <w:color w:val="3E6478"/>
            <w:u w:val="single"/>
            <w:rFonts w:ascii="Noto Sans CJK SC" w:hAnsi="Noto Sans CJK SC" w:eastAsia="Noto Sans CJK SC"/>
            <w:sz w:val="18"/>
          </w:rPr>
          <w:t>[官方/项目链接]</w:t>
        </w:r>
      </w:hyperlink>
    </w:p>
    <w:p>
      <w:r>
        <w:rPr>
          <w:rFonts w:ascii="Noto Sans CJK SC" w:hAnsi="Noto Sans CJK SC" w:eastAsia="Noto Sans CJK SC"/>
          <w:b/>
          <w:color w:val="173E36"/>
          <w:sz w:val="21"/>
        </w:rPr>
        <w:t>5. Greanlean公开网站及电池案例（现状基线）</w:t>
      </w:r>
      <w:r>
        <w:rPr>
          <w:rFonts w:ascii="Noto Sans CJK SC" w:hAnsi="Noto Sans CJK SC"/>
        </w:rPr>
        <w:t xml:space="preserve"> — 用于识别当前展示、数据结构和待调整项，不作为法规来源。 </w:t>
      </w:r>
      <w:hyperlink r:id="rId15">
        <w:r>
          <w:rPr>
            <w:color w:val="3E6478"/>
            <w:u w:val="single"/>
            <w:rFonts w:ascii="Noto Sans CJK SC" w:hAnsi="Noto Sans CJK SC" w:eastAsia="Noto Sans CJK SC"/>
            <w:sz w:val="18"/>
          </w:rPr>
          <w:t>[官方/项目链接]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6E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C9A86A"/>
              <w:left w:val="single" w:sz="8" w:color="C9A86A"/>
              <w:bottom w:val="single" w:sz="8" w:color="C9A86A"/>
              <w:right w:val="single" w:sz="8" w:color="C9A86A"/>
            </w:tcBorders>
          </w:tcPr>
          <w:p>
            <w:r>
              <w:rPr>
                <w:rFonts w:ascii="Noto Sans CJK SC" w:hAnsi="Noto Sans CJK SC" w:eastAsia="Noto Sans CJK SC"/>
                <w:b/>
                <w:color w:val="173E36"/>
                <w:sz w:val="21"/>
              </w:rPr>
              <w:t>更新提醒：</w:t>
            </w:r>
            <w:r>
              <w:rPr>
                <w:rFonts w:ascii="Noto Sans CJK SC" w:hAnsi="Noto Sans CJK SC" w:eastAsia="Noto Sans CJK SC"/>
                <w:color w:val="27322F"/>
                <w:sz w:val="21"/>
              </w:rPr>
              <w:t>DPP Registry已上线，但官方《经济运营者用户指南》明确：截至指南发布时，电池产品组语义目录尚未定义，电池DPP暂不能成功完成正式注册。因此平台只能显示“注册准备/测试/提交中”，只有收到官方返回的Unique Registration Identifier（URI）后，才能标记为“已注册”。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0706A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0706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2F5D50"/>
        <w:sz w:val="17"/>
      </w:rPr>
      <w:t>GREANLEAN  |  DPP实施文档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Noto Sans CJK SC" w:hAnsi="Noto Sans CJK SC" w:eastAsia="Noto Sans CJK SC"/>
      <w:color w:val="2732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  <w:keepNext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E3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D5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7322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E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6070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00"/>
      <w:ind w:left="283" w:right="170"/>
    </w:pPr>
    <w:rPr>
      <w:rFonts w:ascii="Noto Sans CJK SC" w:hAnsi="Noto Sans CJK SC" w:eastAsia="Noto Sans CJK SC"/>
      <w:color w:val="173E36"/>
      <w:sz w:val="20"/>
    </w:rPr>
  </w:style>
  <w:style w:type="paragraph" w:customStyle="1" w:styleId="Small">
    <w:name w:val="Small"/>
    <w:pPr>
      <w:spacing w:after="40"/>
    </w:pPr>
    <w:rPr>
      <w:rFonts w:ascii="Noto Sans CJK SC" w:hAnsi="Noto Sans CJK SC" w:eastAsia="Noto Sans CJK SC"/>
      <w:color w:val="60706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ur-lex.europa.eu/eli/reg/2023/1542/oj/eng" TargetMode="External"/><Relationship Id="rId12" Type="http://schemas.openxmlformats.org/officeDocument/2006/relationships/hyperlink" Target="https://eur-lex.europa.eu/eli/reg_impl/2026/1778/oj/eng" TargetMode="External"/><Relationship Id="rId13" Type="http://schemas.openxmlformats.org/officeDocument/2006/relationships/hyperlink" Target="https://single-market-economy.ec.europa.eu/document/download/079a45e2-469f-4eec-b1e5-32e8e05d1357_en?filename=dpp_registry_user_guide_for_economic_operators.pdf" TargetMode="External"/><Relationship Id="rId14" Type="http://schemas.openxmlformats.org/officeDocument/2006/relationships/hyperlink" Target="https://single-market-economy.ec.europa.eu/single-market/digital-product-passport/batteries_en" TargetMode="External"/><Relationship Id="rId15" Type="http://schemas.openxmlformats.org/officeDocument/2006/relationships/hyperlink" Target="https://www.greanlea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