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64"/>
          <w:szCs w:val="64"/>
        </w:rPr>
        <w:t xml:space="preserve">Deltafold</w:t>
      </w:r>
    </w:p>
    <w:p>
      <w:pPr>
        <w:spacing w:after="200"/>
        <w:jc w:val="center"/>
      </w:pPr>
      <w:r>
        <w:rPr>
          <w:rFonts w:ascii="Arial" w:cs="Arial" w:eastAsia="Arial" w:hAnsi="Arial"/>
          <w:color w:val="2E75B6"/>
          <w:sz w:val="36"/>
          <w:szCs w:val="36"/>
        </w:rPr>
        <w:t xml:space="preserve">A Technical Reading Guide</w:t>
      </w:r>
    </w:p>
    <w:p>
      <w:pPr>
        <w:spacing w:after="120"/>
        <w:jc w:val="center"/>
      </w:pPr>
      <w:r>
        <w:rPr>
          <w:color w:val="555555"/>
          <w:sz w:val="26"/>
          <w:szCs w:val="26"/>
        </w:rPr>
        <w:t xml:space="preserve">What we are training, why, how, and where we stand</w:t>
      </w:r>
    </w:p>
    <w:p>
      <w:pPr>
        <w:pBdr>
          <w:bottom w:val="single" w:color="2E75B6" w:sz="6" w:space="1"/>
        </w:pBdr>
        <w:spacing w:after="120"/>
      </w:pPr>
      <w:r>
        <w:t xml:space="preserve"/>
      </w:r>
    </w:p>
    <w:p>
      <w:pPr>
        <w:spacing w:after="2400"/>
        <w:jc w:val="center"/>
      </w:pPr>
      <w:r>
        <w:rPr>
          <w:color w:val="888888"/>
          <w:sz w:val="22"/>
          <w:szCs w:val="22"/>
        </w:rPr>
        <w:t xml:space="preserve">Matthieu Nardi  —  Internship, June 2026</w:t>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 and Biological Motivation</w:t>
      </w:r>
    </w:p>
    <w:p>
      <w:pPr>
        <w:spacing w:after="160"/>
      </w:pPr>
      <w:r>
        <w:rPr>
          <w:sz w:val="24"/>
          <w:szCs w:val="24"/>
        </w:rPr>
        <w:t xml:space="preserve">This document explains, from the ground up, every technical concept involved in the Deltafold project. The goal of the project is to train a deep learning model on viral protein structures so that it learns a continuous measure of structural similarity. To understand why that is hard and interesting, we have to start with the biology.</w:t>
      </w:r>
    </w:p>
    <w:p>
      <w:pPr>
        <w:pStyle w:val="Heading2"/>
      </w:pPr>
      <w:r>
        <w:t xml:space="preserve">1.1 The problem with viral proteins</w:t>
      </w:r>
    </w:p>
    <w:p>
      <w:pPr>
        <w:spacing w:after="160"/>
      </w:pPr>
      <w:r>
        <w:rPr>
          <w:sz w:val="24"/>
          <w:szCs w:val="24"/>
        </w:rPr>
        <w:t xml:space="preserve">Viruses evolve extremely fast. Their proteins mutate so rapidly that, even between viruses of the same family, the amino acid sequences can look almost entirely different. When two proteins share less than 30% of their amino acid sequence, standard sequence-based similarity tools essentially fail — they cannot reliably detect that the two proteins are related.</w:t>
      </w:r>
    </w:p>
    <w:p>
      <w:pPr>
        <w:spacing w:after="160"/>
      </w:pPr>
      <w:r>
        <w:rPr>
          <w:sz w:val="24"/>
          <w:szCs w:val="24"/>
        </w:rPr>
        <w:t xml:space="preserve">This is a problem because proteins with similar three-dimensional shapes tend to have similar functions, even if their sequences have diverged. A poxvirus protein and a baculovirus protein might both fold into the same shape — called an OB-fold — and both bind single-stranded DNA, even though their sequences share almost nothing. Sequence-based methods will never connect them. Structure-based methods can.</w:t>
      </w:r>
    </w:p>
    <w:p>
      <w:pPr>
        <w:spacing w:after="160"/>
      </w:pPr>
      <w:r>
        <w:rPr>
          <w:sz w:val="24"/>
          <w:szCs w:val="24"/>
        </w:rPr>
        <w:t xml:space="preserve">The Nomburg et al. (2024, Nature) study exploited this. They predicted the 3D structures of 67,715 proteins from 4,463 eukaryotic viral species using ColabFold (an AlphaFold2-based tool), then clustered those structures by shape similarity using a tool called Foldseek. This revealed structural families that spanned multiple viral lineages, suggested functions for previously unannotated proteins, and even uncovered a conserved immune evasion mechanism — the LigT-like phosphodiesterases — shared across bacteriophage and eukaryotic viruses.</w:t>
      </w:r>
    </w:p>
    <w:p>
      <w:pPr>
        <w:spacing w:after="160"/>
      </w:pPr>
      <w:r>
        <w:rPr>
          <w:sz w:val="24"/>
          <w:szCs w:val="24"/>
        </w:rPr>
        <w:t xml:space="preserve">The Deltafold project picks up from Nomburg et al. with a more ambitious goal: instead of using Foldseek’s binary clustering as the final answer, we want to train a deep learning model that learns a continuous, geometry-aware embedding of viral protein structures. The idea is that two proteins in this embedding space should be close together if and only if they are structurally similar — and the distance between them should be graded, not just “same cluster / different cluster”.</w:t>
      </w:r>
    </w:p>
    <w:p>
      <w:pPr>
        <w:pStyle w:val="Heading2"/>
      </w:pPr>
      <w:r>
        <w:t xml:space="preserve">1.2 Why structure is more informative than sequence for this problem</w:t>
      </w:r>
    </w:p>
    <w:p>
      <w:pPr>
        <w:spacing w:after="160"/>
      </w:pPr>
      <w:r>
        <w:rPr>
          <w:sz w:val="24"/>
          <w:szCs w:val="24"/>
        </w:rPr>
        <w:t xml:space="preserve">Protein sequences change much faster than protein structures during evolution. The reason is that many different amino acid sequences can fold into the same three-dimensional shape. This means that structure is a more conserved signal: two proteins that diverged hundreds of millions of years ago may still share the same fold, even if their sequences are unrecognisable as related.</w:t>
      </w:r>
    </w:p>
    <w:p>
      <w:pPr>
        <w:spacing w:after="160"/>
      </w:pPr>
      <w:r>
        <w:rPr>
          <w:sz w:val="24"/>
          <w:szCs w:val="24"/>
        </w:rPr>
        <w:t xml:space="preserve">This is especially important for viruses because they exchange genetic material not only with each other but with their hosts (this is called horizontal gene transfer). A viral protein might have originally been captured from a host cell and then mutated beyond sequence recognition — but its fold, and therefore its function, is preserved. Structure-based approaches can detect these ancient relationships where sequence-based approaches cannot.</w:t>
      </w:r>
    </w:p>
    <w:p>
      <w:pPr>
        <w:spacing w:after="160"/>
      </w:pPr>
      <w:r>
        <w:rPr>
          <w:sz w:val="24"/>
          <w:szCs w:val="24"/>
        </w:rPr>
        <w:t xml:space="preserve">Additionally, 62% of the viral proteins in the Nomburg database have no detectable homologue in the AlphaFold database of non-viral proteins. These are structurally novel proteins. Foldseek places many of them in singleton clusters — no known structural relatives. A learned embedding that can continuously map these proteins relative to each other, even without annotation, would be a genuinely useful scientific tool.</w:t>
      </w:r>
    </w:p>
    <w:p>
      <w:r>
        <w:br w:type="page"/>
      </w:r>
    </w:p>
    <w:p>
      <w:pPr>
        <w:pStyle w:val="Heading1"/>
      </w:pPr>
      <w:r>
        <w:t xml:space="preserve">2. The Dataset</w:t>
      </w:r>
    </w:p>
    <w:p>
      <w:pPr>
        <w:pStyle w:val="Heading2"/>
      </w:pPr>
      <w:r>
        <w:t xml:space="preserve">2.1 ColabFold and AlphaFold2</w:t>
      </w:r>
    </w:p>
    <w:p>
      <w:pPr>
        <w:spacing w:after="160"/>
      </w:pPr>
      <w:r>
        <w:rPr>
          <w:sz w:val="24"/>
          <w:szCs w:val="24"/>
        </w:rPr>
        <w:t xml:space="preserve">All 67,715 protein structures in the dataset are computational predictions, not experimentally determined structures. They were generated using ColabFold, which is a fast implementation of AlphaFold2.</w:t>
      </w:r>
    </w:p>
    <w:p>
      <w:pPr>
        <w:spacing w:after="160"/>
      </w:pPr>
      <w:r>
        <w:rPr>
          <w:sz w:val="24"/>
          <w:szCs w:val="24"/>
        </w:rPr>
        <w:t xml:space="preserve">AlphaFold2 takes a protein’s amino acid sequence as input and predicts the 3D coordinates of every atom. It does this by first building a multiple sequence alignment (MSA) — a collection of related protein sequences from other organisms — which gives it evolutionary context. It then uses a deep neural network called Evoformer to process the MSA and produce a 3D structure.</w:t>
      </w:r>
    </w:p>
    <w:p>
      <w:pPr>
        <w:spacing w:after="160"/>
      </w:pPr>
      <w:r>
        <w:rPr>
          <w:sz w:val="24"/>
          <w:szCs w:val="24"/>
        </w:rPr>
        <w:t xml:space="preserve">For viral proteins, the MSA is often very shallow. Viral proteins are so divergent that there are few known relatives in public databases. This is important: AlphaFold2’s accuracy degrades when the MSA is sparse, because it has less evolutionary information to work with.</w:t>
      </w:r>
    </w:p>
    <w:p>
      <w:pPr>
        <w:pStyle w:val="Heading2"/>
      </w:pPr>
      <w:r>
        <w:t xml:space="preserve">2.2 pLDDT: the confidence score</w:t>
      </w:r>
    </w:p>
    <w:p>
      <w:pPr>
        <w:spacing w:after="160"/>
      </w:pPr>
      <w:r>
        <w:rPr>
          <w:sz w:val="24"/>
          <w:szCs w:val="24"/>
        </w:rPr>
        <w:t xml:space="preserve">Every residue in a ColabFold prediction comes with a number between 0 and 100 called the pLDDT (predicted Local Distance Difference Test). This is AlphaFold2’s own confidence estimate for that residue.</w:t>
      </w:r>
    </w:p>
    <w:p>
      <w:pPr>
        <w:spacing w:after="160"/>
      </w:pPr>
      <w:r>
        <w:rPr>
          <w:sz w:val="24"/>
          <w:szCs w:val="24"/>
        </w:rPr>
        <w:t xml:space="preserve">A pLDDT above 90 means the prediction is likely very accurate. Between 70 and 90 is generally reliable. Below 70 is uncertain. Below 50 is essentially noise — the model is saying “I have no idea what this region looks like.” The average pLDDT across the Nomburg dataset is 70.67, meaning roughly half the residues are in the uncertain zone.</w:t>
      </w:r>
    </w:p>
    <w:p>
      <w:pPr>
        <w:spacing w:after="160"/>
      </w:pPr>
      <w:r>
        <w:rPr>
          <w:sz w:val="24"/>
          <w:szCs w:val="24"/>
        </w:rPr>
        <w:t xml:space="preserve">The critical consequence for Deltafold: when pLDDT is low, AlphaFold2 does not simply leave the structure blank. Instead, it falls back to a default conformation — often an extended loop or an unstructured helix. Two unrelated proteins with low-pLDDT disordered regions will therefore look structurally similar in those regions simply because AlphaFold2 used the same fallback shape for both. This means the model could learn spurious similarity from prediction noise rather than from real structural relationships.</w:t>
      </w:r>
    </w:p>
    <w:p>
      <w:pPr>
        <w:spacing w:after="160"/>
      </w:pPr>
      <w:r>
        <w:rPr>
          <w:sz w:val="24"/>
          <w:szCs w:val="24"/>
        </w:rPr>
        <w:t xml:space="preserve">The Nomburg dataset shows that singleton proteins (those in clusters of one, with no known structural relatives) have substantially lower average pLDDT than non-singletons. This is consistent: structurally novel proteins are harder to predict because there are fewer evolutionary constraints visible in the MSA.</w:t>
      </w:r>
    </w:p>
    <w:p>
      <w:pPr>
        <w:spacing w:after="160"/>
      </w:pPr>
      <w:r>
        <w:rPr>
          <w:sz w:val="24"/>
          <w:szCs w:val="24"/>
        </w:rPr>
        <w:t xml:space="preserve">In the Deltafold codebase, there is a pre-existing hook in the “lifter” that could mask residues with pLDDT below 70 before computing the structural features the model receives. This mitigation has been identified as a priority but not yet implemented.</w:t>
      </w:r>
    </w:p>
    <w:p>
      <w:pPr>
        <w:pStyle w:val="Heading2"/>
      </w:pPr>
      <w:r>
        <w:t xml:space="preserve">2.3 Dataset composition</w:t>
      </w:r>
    </w:p>
    <w:p>
      <w:pPr>
        <w:spacing w:after="160"/>
      </w:pPr>
      <w:r>
        <w:rPr>
          <w:sz w:val="24"/>
          <w:szCs w:val="24"/>
        </w:rPr>
        <w:t xml:space="preserve">The downsampled training set used for the current experiments contains 3,647 proteins. This is drawn from the full 67,715-structure dataset. The downsampled set is not representative of the full dataset: it is enriched for large dsDNA viruses (Poxviridae, Phycodnaviridae, Marseilleviridae, Herpesviridae account for 48% of proteins). These virus families have denser known structural relationships, so the model sees more positive pairs per batch than it would on the full dataset.</w:t>
      </w:r>
    </w:p>
    <w:p>
      <w:r>
        <w:br w:type="page"/>
      </w:r>
    </w:p>
    <w:p>
      <w:pPr>
        <w:pStyle w:val="Heading1"/>
      </w:pPr>
      <w:r>
        <w:t xml:space="preserve">3. Measuring Structural Similarity</w:t>
      </w:r>
    </w:p>
    <w:p>
      <w:pPr>
        <w:pStyle w:val="Heading2"/>
      </w:pPr>
      <w:r>
        <w:t xml:space="preserve">3.1 The problem with RMSD</w:t>
      </w:r>
    </w:p>
    <w:p>
      <w:pPr>
        <w:spacing w:after="160"/>
      </w:pPr>
      <w:r>
        <w:rPr>
          <w:sz w:val="24"/>
          <w:szCs w:val="24"/>
        </w:rPr>
        <w:t xml:space="preserve">The oldest and simplest structural similarity measure is RMSD (Root Mean Square Deviation). You superimpose two protein structures by aligning them as well as possible, then you measure the average distance between corresponding atoms. A low RMSD means the structures are similar.</w:t>
      </w:r>
    </w:p>
    <w:p>
      <w:pPr>
        <w:spacing w:after="160"/>
      </w:pPr>
      <w:r>
        <w:rPr>
          <w:sz w:val="24"/>
          <w:szCs w:val="24"/>
        </w:rPr>
        <w:t xml:space="preserve">RMSD has a critical flaw for comparing distantly related proteins: it is not normalised by protein length. If protein A has 50 residues and protein B has 500 residues, and they share the same 50-residue domain, the RMSD computed over all 500 residues of B will be dominated by the 450 residues that don’t match, even if the 50 residues that do match are almost identical. RMSD is also sensitive to outlier regions: a single flexible loop that adopts a different conformation can inflate the RMSD enormously, even if the rest of the structure is nearly identical.</w:t>
      </w:r>
    </w:p>
    <w:p>
      <w:pPr>
        <w:spacing w:after="160"/>
      </w:pPr>
      <w:r>
        <w:rPr>
          <w:sz w:val="24"/>
          <w:szCs w:val="24"/>
        </w:rPr>
        <w:t xml:space="preserve">For viral proteins, which are often multi-domain and highly variable in length, RMSD is therefore a poor measure of whether two proteins share a common fold.</w:t>
      </w:r>
    </w:p>
    <w:p>
      <w:pPr>
        <w:pStyle w:val="Heading2"/>
      </w:pPr>
      <w:r>
        <w:t xml:space="preserve">3.2 TM-score: what it is and why it matters</w:t>
      </w:r>
    </w:p>
    <w:p>
      <w:pPr>
        <w:spacing w:after="160"/>
      </w:pPr>
      <w:r>
        <w:rPr>
          <w:sz w:val="24"/>
          <w:szCs w:val="24"/>
        </w:rPr>
        <w:t xml:space="preserve">TM-score (Template Modelling score) was designed specifically to address RMSD’s limitations. It measures structural similarity on a scale from 0 to 1, where 1 means identical and scores above 0.5 are generally taken to mean the two proteins share the same overall fold.</w:t>
      </w:r>
    </w:p>
    <w:p>
      <w:pPr>
        <w:spacing w:after="160"/>
      </w:pPr>
      <w:r>
        <w:rPr>
          <w:sz w:val="24"/>
          <w:szCs w:val="24"/>
        </w:rPr>
        <w:t xml:space="preserve">The key innovations over RMSD are:</w:t>
      </w:r>
    </w:p>
    <w:p>
      <w:pPr>
        <w:pStyle w:val="ListParagraph"/>
        <w:numPr>
          <w:ilvl w:val="0"/>
          <w:numId w:val="2"/>
        </w:numPr>
        <w:spacing w:after="100"/>
      </w:pPr>
      <w:r>
        <w:rPr>
          <w:sz w:val="24"/>
          <w:szCs w:val="24"/>
        </w:rPr>
        <w:t xml:space="preserve">Normalisation by length. TM-score is normalised by the length of the shorter protein. This means that if protein B contains protein A’s fold as a subdomain, TM-score will still give a high score, whereas RMSD would not.</w:t>
      </w:r>
    </w:p>
    <w:p>
      <w:pPr>
        <w:pStyle w:val="ListParagraph"/>
        <w:numPr>
          <w:ilvl w:val="0"/>
          <w:numId w:val="2"/>
        </w:numPr>
        <w:spacing w:after="100"/>
      </w:pPr>
      <w:r>
        <w:rPr>
          <w:sz w:val="24"/>
          <w:szCs w:val="24"/>
        </w:rPr>
        <w:t xml:space="preserve">Distance weighting. Residue pairs that are close together contribute more to the score than residue pairs that are far apart. This makes TM-score robust to flexible loops and disordered regions: a loop that flails around in a different conformation barely affects the score, because those residues were far from their counterparts to begin with.</w:t>
      </w:r>
    </w:p>
    <w:p>
      <w:pPr>
        <w:pStyle w:val="ListParagraph"/>
        <w:numPr>
          <w:ilvl w:val="0"/>
          <w:numId w:val="2"/>
        </w:numPr>
        <w:spacing w:after="100"/>
      </w:pPr>
      <w:r>
        <w:rPr>
          <w:sz w:val="24"/>
          <w:szCs w:val="24"/>
        </w:rPr>
        <w:t xml:space="preserve">Biological interpretability. A TM-score ≥ 0.5 is widely accepted as evidence of the same fold. A TM-score ≤ 0.2 is consistent with random structural similarity. The intermediate range (0.2–0.5) covers cases of partial similarity, shared domains, or distant relatives.</w:t>
      </w:r>
    </w:p>
    <w:p>
      <w:pPr>
        <w:spacing w:after="80"/>
      </w:pPr>
      <w:r>
        <w:t xml:space="preserve"/>
      </w:r>
    </w:p>
    <w:p>
      <w:pPr>
        <w:spacing w:after="160"/>
      </w:pPr>
      <w:r>
        <w:rPr>
          <w:sz w:val="24"/>
          <w:szCs w:val="24"/>
        </w:rPr>
        <w:t xml:space="preserve">TM-score is computed using TM-align, which first finds the optimal superimposition of the two structures and then evaluates the score. This alignment step is computationally expensive — about 0.5 seconds per pair — which is a practical obstacle for using TM-score directly during training (discussed in Section 8 and 13).</w:t>
      </w:r>
    </w:p>
    <w:p>
      <w:pPr>
        <w:pStyle w:val="Heading2"/>
      </w:pPr>
      <w:r>
        <w:t xml:space="preserve">3.3 Why TM-score is not the only relevant indicator</w:t>
      </w:r>
    </w:p>
    <w:p>
      <w:pPr>
        <w:spacing w:after="160"/>
      </w:pPr>
      <w:r>
        <w:rPr>
          <w:sz w:val="24"/>
          <w:szCs w:val="24"/>
        </w:rPr>
        <w:t xml:space="preserve">Your supervisors have noted that TM-score is not the only structural similarity measure, and this is worth understanding. TM-score measures global fold similarity — whether two proteins adopt the same overall 3D shape. But there are cases where global TM-score is uninformative:</w:t>
      </w:r>
    </w:p>
    <w:p>
      <w:pPr>
        <w:pStyle w:val="ListParagraph"/>
        <w:numPr>
          <w:ilvl w:val="0"/>
          <w:numId w:val="2"/>
        </w:numPr>
        <w:spacing w:after="100"/>
      </w:pPr>
      <w:r>
        <w:rPr>
          <w:sz w:val="24"/>
          <w:szCs w:val="24"/>
        </w:rPr>
        <w:t xml:space="preserve">Domain similarity without full-length similarity. Two proteins may share a single domain (e.g., both have an OB-fold) but differ in their other domains. TM-score over the full length of both proteins will be moderate even if the shared domain is nearly identical. This is why Nomburg used a 70% coverage requirement in Foldseek: they wanted clusters where the similarity spans most of the protein length, not just a small shared motif.</w:t>
      </w:r>
    </w:p>
    <w:p>
      <w:pPr>
        <w:pStyle w:val="ListParagraph"/>
        <w:numPr>
          <w:ilvl w:val="0"/>
          <w:numId w:val="2"/>
        </w:numPr>
        <w:spacing w:after="100"/>
      </w:pPr>
      <w:r>
        <w:rPr>
          <w:sz w:val="24"/>
          <w:szCs w:val="24"/>
        </w:rPr>
        <w:t xml:space="preserve">DALI z-score. DALI (Distance Alignment) is a more sensitive structural alignment tool. Instead of requiring an explicit superimposition, DALI compares the internal distance matrices of two proteins (the matrix of all pairwise Cα-Cα distances within each protein). This makes it more sensitive to distant homologues. The DALI z-score measures statistical significance: a z-score above 8 indicates likely homology. DALI is used by Nomburg for high-sensitivity searches (e.g., finding the ENT4 nucleoside transporter homologue in herpesviruses).</w:t>
      </w:r>
    </w:p>
    <w:p>
      <w:pPr>
        <w:pStyle w:val="ListParagraph"/>
        <w:numPr>
          <w:ilvl w:val="0"/>
          <w:numId w:val="2"/>
        </w:numPr>
        <w:spacing w:after="100"/>
      </w:pPr>
      <w:r>
        <w:rPr>
          <w:sz w:val="24"/>
          <w:szCs w:val="24"/>
        </w:rPr>
        <w:t xml:space="preserve">Local structural motifs. Some biologically critical similarities are in small active site pockets or binding motifs, not in the overall fold. TM-score and DALI both tend to focus on backbone topology. Approaches that measure local motif similarity (e.g., based on side-chain geometry or electrostatic shape) may be more appropriate for functional annotation.</w:t>
      </w:r>
    </w:p>
    <w:p>
      <w:pPr>
        <w:spacing w:after="80"/>
      </w:pPr>
      <w:r>
        <w:t xml:space="preserve"/>
      </w:r>
    </w:p>
    <w:p>
      <w:pPr>
        <w:spacing w:after="160"/>
      </w:pPr>
      <w:r>
        <w:rPr>
          <w:sz w:val="24"/>
          <w:szCs w:val="24"/>
        </w:rPr>
        <w:t xml:space="preserve">For the current Deltafold objective, TM-score is the chosen target because it is the measure used by Nomburg for clustering (via Foldseek’s TM-score ≥ 0.4 threshold), and because it is the most widely accepted measure of fold-level structural similarity. However, if the project evolves toward functional annotation rather than fold classification, other metrics may become more relevant.</w:t>
      </w:r>
    </w:p>
    <w:p>
      <w:pPr>
        <w:pStyle w:val="Heading2"/>
      </w:pPr>
      <w:r>
        <w:t xml:space="preserve">3.4 Foldseek: structural alignment as fast sequence alignment</w:t>
      </w:r>
    </w:p>
    <w:p>
      <w:pPr>
        <w:spacing w:after="160"/>
      </w:pPr>
      <w:r>
        <w:rPr>
          <w:sz w:val="24"/>
          <w:szCs w:val="24"/>
        </w:rPr>
        <w:t xml:space="preserve">Foldseek is the tool used by Nomburg to cluster the 67,715 protein structures — and its clusters are the training labels for Deltafold.</w:t>
      </w:r>
    </w:p>
    <w:p>
      <w:pPr>
        <w:spacing w:after="160"/>
      </w:pPr>
      <w:r>
        <w:rPr>
          <w:sz w:val="24"/>
          <w:szCs w:val="24"/>
        </w:rPr>
        <w:t xml:space="preserve">The fundamental problem with structural alignment is speed. Traditional tools like DALI are accurate but slow: comparing one protein against a database of 67,715 structures would take days. Foldseek solves this by converting 3D structure into a one-dimensional sequence that can be compared with standard string-matching algorithms.</w:t>
      </w:r>
    </w:p>
    <w:p>
      <w:pPr>
        <w:spacing w:after="160"/>
      </w:pPr>
      <w:r>
        <w:rPr>
          <w:sz w:val="24"/>
          <w:szCs w:val="24"/>
        </w:rPr>
        <w:t xml:space="preserve">The key idea is the 3Di alphabet. For each residue in a protein, Foldseek looks at the geometric relationship between that residue and its nearest structural neighbour (the residue whose Cα atom is closest in 3D space, regardless of sequence position). It encodes this geometry as one of 20 discrete symbols — the 3Di alphabet. Every protein therefore has two sequences: its amino acid sequence and its 3Di sequence. Foldseek aligns both simultaneously using standard sequence alignment algorithms, which are extremely fast.</w:t>
      </w:r>
    </w:p>
    <w:p>
      <w:pPr>
        <w:spacing w:after="160"/>
      </w:pPr>
      <w:r>
        <w:rPr>
          <w:sz w:val="24"/>
          <w:szCs w:val="24"/>
        </w:rPr>
        <w:t xml:space="preserve">The 3Di alphabet captures local backbone topology: whether a residue is in a helix, a sheet, a turn, or a specific kind of loop, and how it relates spatially to its structural neighbour. Two proteins with similar 3Di sequences at corresponding positions are likely to be structurally similar in those regions.</w:t>
      </w:r>
    </w:p>
    <w:p>
      <w:pPr>
        <w:spacing w:after="160"/>
      </w:pPr>
      <w:r>
        <w:rPr>
          <w:sz w:val="24"/>
          <w:szCs w:val="24"/>
        </w:rPr>
        <w:t xml:space="preserve">The Foldseek clusters used as training labels were built as follows: proteins whose structures aligned with at least 70% coverage and a TM-score ≥ 0.4 were placed in the same cluster. This resulted in 18,192 clusters in the full Nomburg dataset, of which 12,422 are singletons (no structural relatives found).</w:t>
      </w:r>
    </w:p>
    <w:p>
      <w:pPr>
        <w:spacing w:after="160"/>
      </w:pPr>
      <w:r>
        <w:rPr>
          <w:sz w:val="24"/>
          <w:szCs w:val="24"/>
        </w:rPr>
        <w:t xml:space="preserve">The 0.4 TM-score threshold is a deliberate biological choice. A TM-score of 0.4 is below the canonical “same fold” threshold of 0.5, but above random similarity. Nomburg chose it to be inclusive: they wanted to capture distant structural relatives. The 70% coverage requirement ensures that the similarity spans most of the protein, not just a shared domain.</w:t>
      </w:r>
    </w:p>
    <w:p>
      <w:pPr>
        <w:spacing w:after="160"/>
      </w:pPr>
      <w:r>
        <w:rPr>
          <w:sz w:val="24"/>
          <w:szCs w:val="24"/>
        </w:rPr>
        <w:t xml:space="preserve">Crucially, the Foldseek clusters are binary: two proteins are either in the same cluster or they are not. There is no gradation. This binary structure is what gets passed to the Deltafold training loop as positive/negative labels — and it is the root cause of the fundamental tension in the current training objective (discussed in Section 8.5).</w:t>
      </w:r>
    </w:p>
    <w:p>
      <w:pPr>
        <w:spacing w:after="160"/>
      </w:pPr>
      <w:r>
        <w:rPr>
          <w:sz w:val="24"/>
          <w:szCs w:val="24"/>
        </w:rPr>
        <w:t xml:space="preserve">The 3Di features also appear directly as input to the model at Rank 0 (21-dimensional one-hot encoding per residue), alongside amino acid identity. This means the model has direct access to the same structural alphabet that Foldseek uses for clustering — which is both an advantage (structural signal at the residue level) and a shortcut risk (the model can trivially replicate Foldseek’s clustering by comparing 3Di compositions, without learning anything about geometric structure).</w:t>
      </w:r>
    </w:p>
    <w:p>
      <w:r>
        <w:br w:type="page"/>
      </w:r>
    </w:p>
    <w:p>
      <w:pPr>
        <w:pStyle w:val="Heading1"/>
      </w:pPr>
      <w:r>
        <w:t xml:space="preserve">4. The Goal: A Continuous Structural Embedding</w:t>
      </w:r>
    </w:p>
    <w:p>
      <w:pPr>
        <w:spacing w:after="160"/>
      </w:pPr>
      <w:r>
        <w:rPr>
          <w:sz w:val="24"/>
          <w:szCs w:val="24"/>
        </w:rPr>
        <w:t xml:space="preserve">The model’s output for each protein is a 128-dimensional vector. After L2 normalisation, this vector lives on a unit hypersphere — a sphere in 128 dimensions where every point is at distance 1 from the origin.</w:t>
      </w:r>
    </w:p>
    <w:p>
      <w:pPr>
        <w:spacing w:after="160"/>
      </w:pPr>
      <w:r>
        <w:rPr>
          <w:sz w:val="24"/>
          <w:szCs w:val="24"/>
        </w:rPr>
        <w:t xml:space="preserve">The distance metric used between embeddings is cosine distance, defined as 1 − cos(θ), where θ is the angle between two vectors. On a unit hypersphere, cosine distance is equivalent to Euclidean distance (scaled). A cosine distance of 0 means the two vectors point in the same direction: the two proteins are represented as identical. A cosine distance of 2 means they point in opposite directions: maximally dissimilar. A cosine distance of 1 means they are orthogonal: unrelated.</w:t>
      </w:r>
    </w:p>
    <w:p>
      <w:pPr>
        <w:spacing w:after="160"/>
      </w:pPr>
      <w:r>
        <w:rPr>
          <w:sz w:val="24"/>
          <w:szCs w:val="24"/>
        </w:rPr>
        <w:t xml:space="preserve">The goal is for this cosine distance to be monotonically related to TM-score dissimilarity: proteins with TM-score 0.9 should have a smaller cosine distance than proteins with TM-score 0.6, which should have a smaller cosine distance than proteins with TM-score 0.2. We do not require the relationship to be linear — just that closer in embedding space means more structurally similar.</w:t>
      </w:r>
    </w:p>
    <w:p>
      <w:pPr>
        <w:pStyle w:val="Heading2"/>
      </w:pPr>
      <w:r>
        <w:t xml:space="preserve">4.1 Why L2 normalisation and cosine distance?</w:t>
      </w:r>
    </w:p>
    <w:p>
      <w:pPr>
        <w:spacing w:after="160"/>
      </w:pPr>
      <w:r>
        <w:rPr>
          <w:sz w:val="24"/>
          <w:szCs w:val="24"/>
        </w:rPr>
        <w:t xml:space="preserve">L2 normalisation projects all embeddings onto the unit hypersphere. This removes the effect of vector magnitude and makes only the direction of the vector matter. This is the standard choice for contrastive learning because:</w:t>
      </w:r>
    </w:p>
    <w:p>
      <w:pPr>
        <w:pStyle w:val="ListParagraph"/>
        <w:numPr>
          <w:ilvl w:val="0"/>
          <w:numId w:val="2"/>
        </w:numPr>
        <w:spacing w:after="100"/>
      </w:pPr>
      <w:r>
        <w:rPr>
          <w:sz w:val="24"/>
          <w:szCs w:val="24"/>
        </w:rPr>
        <w:t xml:space="preserve">It bounds the distance space: cosine distance is always between 0 and 2, making the loss function numerically stable.</w:t>
      </w:r>
    </w:p>
    <w:p>
      <w:pPr>
        <w:pStyle w:val="ListParagraph"/>
        <w:numPr>
          <w:ilvl w:val="0"/>
          <w:numId w:val="2"/>
        </w:numPr>
        <w:spacing w:after="100"/>
      </w:pPr>
      <w:r>
        <w:rPr>
          <w:sz w:val="24"/>
          <w:szCs w:val="24"/>
        </w:rPr>
        <w:t xml:space="preserve">It decouples similarity from scale: the model cannot make two embeddings similar by simply making them both very small (close to the origin).</w:t>
      </w:r>
    </w:p>
    <w:p>
      <w:pPr>
        <w:pStyle w:val="ListParagraph"/>
        <w:numPr>
          <w:ilvl w:val="0"/>
          <w:numId w:val="2"/>
        </w:numPr>
        <w:spacing w:after="100"/>
      </w:pPr>
      <w:r>
        <w:rPr>
          <w:sz w:val="24"/>
          <w:szCs w:val="24"/>
        </w:rPr>
        <w:t xml:space="preserve">It is well-matched to the NT-Xent loss function, which computes dot products between normalised vectors — equivalent to cosine similarity.</w:t>
      </w:r>
    </w:p>
    <w:p>
      <w:pPr>
        <w:spacing w:after="80"/>
      </w:pPr>
      <w:r>
        <w:t xml:space="preserve"/>
      </w:r>
    </w:p>
    <w:p>
      <w:pPr>
        <w:spacing w:after="160"/>
      </w:pPr>
      <w:r>
        <w:rPr>
          <w:sz w:val="24"/>
          <w:szCs w:val="24"/>
        </w:rPr>
        <w:t xml:space="preserve">The output head in the code concatenates the mean-pooled residue embeddings (h0_pool, 128-dim) with the global protein embedding (h3, 128-dim), passes the concatenation through an MLP, and applies LayerNorm followed by F.normalize (L2 norm). The final 128-dimensional vector is the protein’s embedding.</w:t>
      </w:r>
    </w:p>
    <w:p>
      <w:r>
        <w:br w:type="page"/>
      </w:r>
    </w:p>
    <w:p>
      <w:pPr>
        <w:pStyle w:val="Heading1"/>
      </w:pPr>
      <w:r>
        <w:t xml:space="preserve">5. From Graphs to Topological Complexes</w:t>
      </w:r>
    </w:p>
    <w:p>
      <w:pPr>
        <w:spacing w:after="160"/>
      </w:pPr>
      <w:r>
        <w:rPr>
          <w:sz w:val="24"/>
          <w:szCs w:val="24"/>
        </w:rPr>
        <w:t xml:space="preserve">Before explaining the model architecture, it is worth understanding why a standard Graph Neural Network (GNN) is insufficient for this problem — and what the Protein Combinatorial Complex adds.</w:t>
      </w:r>
    </w:p>
    <w:p>
      <w:pPr>
        <w:pStyle w:val="Heading2"/>
      </w:pPr>
      <w:r>
        <w:t xml:space="preserve">5.1 What a GNN does and where it fails</w:t>
      </w:r>
    </w:p>
    <w:p>
      <w:pPr>
        <w:spacing w:after="160"/>
      </w:pPr>
      <w:r>
        <w:rPr>
          <w:sz w:val="24"/>
          <w:szCs w:val="24"/>
        </w:rPr>
        <w:t xml:space="preserve">A GNN represents a protein as a graph: nodes are residues, edges connect residues that are close in 3D space (typically those whose Cα atoms are within 8Å of each other). Message passing propagates information along edges: each node gathers information from its neighbours, updates its representation, and passes that updated representation to its neighbours in the next layer.</w:t>
      </w:r>
    </w:p>
    <w:p>
      <w:pPr>
        <w:spacing w:after="160"/>
      </w:pPr>
      <w:r>
        <w:rPr>
          <w:sz w:val="24"/>
          <w:szCs w:val="24"/>
        </w:rPr>
        <w:t xml:space="preserve">This works well for capturing local interactions — which residues are in contact, what secondary structure they form. But it struggles with two things that are critical for fold-level structural similarity:</w:t>
      </w:r>
    </w:p>
    <w:p>
      <w:pPr>
        <w:pStyle w:val="ListParagraph"/>
        <w:numPr>
          <w:ilvl w:val="0"/>
          <w:numId w:val="2"/>
        </w:numPr>
        <w:spacing w:after="100"/>
      </w:pPr>
      <w:r>
        <w:rPr>
          <w:sz w:val="24"/>
          <w:szCs w:val="24"/>
        </w:rPr>
        <w:t xml:space="preserve">Higher-order structure. A protein’s fold is defined not just by pairwise residue contacts but by how secondary structure elements (helices, sheets) are arranged relative to each other in 3D space. A GNN processes each edge independently; it has no native way to represent “this helix packs against that sheet at this angle.”</w:t>
      </w:r>
    </w:p>
    <w:p>
      <w:pPr>
        <w:pStyle w:val="ListParagraph"/>
        <w:numPr>
          <w:ilvl w:val="0"/>
          <w:numId w:val="2"/>
        </w:numPr>
        <w:spacing w:after="100"/>
      </w:pPr>
      <w:r>
        <w:rPr>
          <w:sz w:val="24"/>
          <w:szCs w:val="24"/>
        </w:rPr>
        <w:t xml:space="preserve">Long-range propagation. In a graph, information spreads one edge at a time. To communicate between two SSEs that are far apart in sequence but close in 3D space — which is the signature of a well-defined fold — the signal must travel through many intermediate nodes, degrading with each hop (oversmoothing).</w:t>
      </w:r>
    </w:p>
    <w:p>
      <w:pPr>
        <w:pStyle w:val="Heading2"/>
      </w:pPr>
      <w:r>
        <w:t xml:space="preserve">5.2 The Protein Combinatorial Complex (PCC)</w:t>
      </w:r>
    </w:p>
    <w:p>
      <w:pPr>
        <w:spacing w:after="160"/>
      </w:pPr>
      <w:r>
        <w:rPr>
          <w:sz w:val="24"/>
          <w:szCs w:val="24"/>
        </w:rPr>
        <w:t xml:space="preserve">The Topotein framework (which Deltafold extends) solves this by representing a protein as a Combinatorial Complex with four levels of structure:</w:t>
      </w:r>
    </w:p>
    <w:p>
      <w:pPr>
        <w:pStyle w:val="ListParagraph"/>
        <w:numPr>
          <w:ilvl w:val="0"/>
          <w:numId w:val="2"/>
        </w:numPr>
        <w:spacing w:after="100"/>
      </w:pPr>
      <w:r>
        <w:rPr>
          <w:sz w:val="24"/>
          <w:szCs w:val="24"/>
        </w:rPr>
        <w:t xml:space="preserve">Rank 0 — Residues. Each amino acid is a node. Features: amino acid identity (23-dim one-hot), 3Di structural symbol (21-dim one-hot), backbone φ/ψ torsion angles (4-dim), positional encoding (16-dim). Total: 64 dimensions.</w:t>
      </w:r>
    </w:p>
    <w:p>
      <w:pPr>
        <w:pStyle w:val="ListParagraph"/>
        <w:numPr>
          <w:ilvl w:val="0"/>
          <w:numId w:val="2"/>
        </w:numPr>
        <w:spacing w:after="100"/>
      </w:pPr>
      <w:r>
        <w:rPr>
          <w:sz w:val="24"/>
          <w:szCs w:val="24"/>
        </w:rPr>
        <w:t xml:space="preserve">Rank 1 — Pairwise contacts. Each edge connects two residues within the distance cutoff. Features: Cα-Cα distance (1-dim) plus sinusoidal distance encoding (16-dim). Total: 17 dimensions.</w:t>
      </w:r>
    </w:p>
    <w:p>
      <w:pPr>
        <w:pStyle w:val="ListParagraph"/>
        <w:numPr>
          <w:ilvl w:val="0"/>
          <w:numId w:val="2"/>
        </w:numPr>
        <w:spacing w:after="100"/>
      </w:pPr>
      <w:r>
        <w:rPr>
          <w:sz w:val="24"/>
          <w:szCs w:val="24"/>
        </w:rPr>
        <w:t xml:space="preserve">Rank 2 — Secondary Structure Elements (SSEs). Each helix or sheet is a higher-order cell containing all its constituent residues. Features: PCA-derived shape descriptors (linearity, planarity, anisotropy, contact density, eigenvector geometry). Total: 12 dimensions. This level is unique to topological approaches — a GNN has no SSE node.</w:t>
      </w:r>
    </w:p>
    <w:p>
      <w:pPr>
        <w:pStyle w:val="ListParagraph"/>
        <w:numPr>
          <w:ilvl w:val="0"/>
          <w:numId w:val="2"/>
        </w:numPr>
        <w:spacing w:after="100"/>
      </w:pPr>
      <w:r>
        <w:rPr>
          <w:sz w:val="24"/>
          <w:szCs w:val="24"/>
        </w:rPr>
        <w:t xml:space="preserve">Rank 3 — The whole protein. One global cell per protein. Features: protein size, radius of gyration, global PCA eigenvalues, shape descriptors. Total: 10 dimensions. This gives the model an explicit global context at every layer.</w:t>
      </w:r>
    </w:p>
    <w:p>
      <w:pPr>
        <w:spacing w:after="80"/>
      </w:pPr>
      <w:r>
        <w:t xml:space="preserve"/>
      </w:r>
    </w:p>
    <w:p>
      <w:pPr>
        <w:spacing w:after="160"/>
      </w:pPr>
      <w:r>
        <w:rPr>
          <w:sz w:val="24"/>
          <w:szCs w:val="24"/>
        </w:rPr>
        <w:t xml:space="preserve">The critical advantage of Rank 2 is that SSE-to-SSE communication can happen directly, without passing through every residue in between. Two β-sheets on opposite ends of a protein can exchange information in a single message-passing step at the SSE level, rather than requiring many hops through residues.</w:t>
      </w:r>
    </w:p>
    <w:p>
      <w:r>
        <w:br w:type="page"/>
      </w:r>
    </w:p>
    <w:p>
      <w:pPr>
        <w:pStyle w:val="Heading1"/>
      </w:pPr>
      <w:r>
        <w:t xml:space="preserve">6. The AsymmetricTopoNet Architecture</w:t>
      </w:r>
    </w:p>
    <w:p>
      <w:pPr>
        <w:spacing w:after="160"/>
      </w:pPr>
      <w:r>
        <w:rPr>
          <w:sz w:val="24"/>
          <w:szCs w:val="24"/>
        </w:rPr>
        <w:t xml:space="preserve">The model used in Deltafold is the AsymmetricTopoNet, an improvement over the original symmetric Topotein. It consists of an input embedding layer, four stacked AsymmetricTopoAttentionLayers, and an output head. We will go through each component in detail.</w:t>
      </w:r>
    </w:p>
    <w:p>
      <w:pPr>
        <w:pStyle w:val="Heading2"/>
      </w:pPr>
      <w:r>
        <w:t xml:space="preserve">6.1 Input embedding</w:t>
      </w:r>
    </w:p>
    <w:p>
      <w:pPr>
        <w:spacing w:after="160"/>
      </w:pPr>
      <w:r>
        <w:rPr>
          <w:sz w:val="24"/>
          <w:szCs w:val="24"/>
        </w:rPr>
        <w:t xml:space="preserve">Before message passing begins, the raw features at each rank are projected into a common 128-dimensional space using small MLPs with LayerNorm and SiLU activation. This means all four ranks start in the same embedding space, making inter-rank attention computation possible.</w:t>
      </w:r>
    </w:p>
    <w:p>
      <w:pPr>
        <w:pStyle w:val="ListParagraph"/>
        <w:numPr>
          <w:ilvl w:val="0"/>
          <w:numId w:val="2"/>
        </w:numPr>
        <w:spacing w:after="100"/>
      </w:pPr>
      <w:r>
        <w:rPr>
          <w:sz w:val="24"/>
          <w:szCs w:val="24"/>
        </w:rPr>
        <w:t xml:space="preserve">Rank 0: 64-dim features → 128-dim embedding</w:t>
      </w:r>
    </w:p>
    <w:p>
      <w:pPr>
        <w:pStyle w:val="ListParagraph"/>
        <w:numPr>
          <w:ilvl w:val="0"/>
          <w:numId w:val="2"/>
        </w:numPr>
        <w:spacing w:after="100"/>
      </w:pPr>
      <w:r>
        <w:rPr>
          <w:sz w:val="24"/>
          <w:szCs w:val="24"/>
        </w:rPr>
        <w:t xml:space="preserve">Rank 1: 17-dim features → 128-dim embedding</w:t>
      </w:r>
    </w:p>
    <w:p>
      <w:pPr>
        <w:pStyle w:val="ListParagraph"/>
        <w:numPr>
          <w:ilvl w:val="0"/>
          <w:numId w:val="2"/>
        </w:numPr>
        <w:spacing w:after="100"/>
      </w:pPr>
      <w:r>
        <w:rPr>
          <w:sz w:val="24"/>
          <w:szCs w:val="24"/>
        </w:rPr>
        <w:t xml:space="preserve">Rank 2: 12-dim features → 128-dim embedding</w:t>
      </w:r>
    </w:p>
    <w:p>
      <w:pPr>
        <w:pStyle w:val="ListParagraph"/>
        <w:numPr>
          <w:ilvl w:val="0"/>
          <w:numId w:val="2"/>
        </w:numPr>
        <w:spacing w:after="100"/>
      </w:pPr>
      <w:r>
        <w:rPr>
          <w:sz w:val="24"/>
          <w:szCs w:val="24"/>
        </w:rPr>
        <w:t xml:space="preserve">Rank 3: 10-dim features → 128-dim embedding</w:t>
      </w:r>
    </w:p>
    <w:p>
      <w:pPr>
        <w:spacing w:after="80"/>
      </w:pPr>
      <w:r>
        <w:t xml:space="preserve"/>
      </w:r>
    </w:p>
    <w:p>
      <w:pPr>
        <w:pStyle w:val="Heading2"/>
      </w:pPr>
      <w:r>
        <w:t xml:space="preserve">6.2 Attention: what it is and why it replaces convolution</w:t>
      </w:r>
    </w:p>
    <w:p>
      <w:pPr>
        <w:spacing w:after="160"/>
      </w:pPr>
      <w:r>
        <w:rPr>
          <w:sz w:val="24"/>
          <w:szCs w:val="24"/>
        </w:rPr>
        <w:t xml:space="preserve">To understand what happens inside each layer, you first need to understand what attention is and why it is used instead of convolution.</w:t>
      </w:r>
    </w:p>
    <w:p>
      <w:pPr>
        <w:spacing w:after="160"/>
      </w:pPr>
      <w:r>
        <w:rPr>
          <w:sz w:val="24"/>
          <w:szCs w:val="24"/>
        </w:rPr>
        <w:t xml:space="preserve">In a classical convolutional network (like those used for image recognition), a filter slides over the input and computes a weighted sum at each position using fixed weights. Every position is treated the same way. The filter does not know or care about the content — it applies the same transformation everywhere.</w:t>
      </w:r>
    </w:p>
    <w:p>
      <w:pPr>
        <w:spacing w:after="160"/>
      </w:pPr>
      <w:r>
        <w:rPr>
          <w:sz w:val="24"/>
          <w:szCs w:val="24"/>
        </w:rPr>
        <w:t xml:space="preserve">Attention is different. Instead of fixed weights, attention computes weights dynamically based on the content of the inputs. The intuition is: not all neighbours are equally relevant. If you are a residue in a β-sheet, the residues in the hydrophobic core that pack against you are much more structurally informative than the solvent-exposed residues on the other side.</w:t>
      </w:r>
    </w:p>
    <w:p>
      <w:pPr>
        <w:spacing w:after="160"/>
      </w:pPr>
      <w:r>
        <w:rPr>
          <w:sz w:val="24"/>
          <w:szCs w:val="24"/>
        </w:rPr>
        <w:t xml:space="preserve">The mechanics work as follows. Each item (a residue, an edge, an SSE) produces three vectors from its own features:</w:t>
      </w:r>
    </w:p>
    <w:p>
      <w:pPr>
        <w:pStyle w:val="ListParagraph"/>
        <w:numPr>
          <w:ilvl w:val="0"/>
          <w:numId w:val="2"/>
        </w:numPr>
        <w:spacing w:after="100"/>
      </w:pPr>
      <w:r>
        <w:rPr>
          <w:sz w:val="24"/>
          <w:szCs w:val="24"/>
        </w:rPr>
        <w:t xml:space="preserve">Query (Q): “What am I looking for?”</w:t>
      </w:r>
    </w:p>
    <w:p>
      <w:pPr>
        <w:pStyle w:val="ListParagraph"/>
        <w:numPr>
          <w:ilvl w:val="0"/>
          <w:numId w:val="2"/>
        </w:numPr>
        <w:spacing w:after="100"/>
      </w:pPr>
      <w:r>
        <w:rPr>
          <w:sz w:val="24"/>
          <w:szCs w:val="24"/>
        </w:rPr>
        <w:t xml:space="preserve">Key (K): “What do I have to offer?”</w:t>
      </w:r>
    </w:p>
    <w:p>
      <w:pPr>
        <w:pStyle w:val="ListParagraph"/>
        <w:numPr>
          <w:ilvl w:val="0"/>
          <w:numId w:val="2"/>
        </w:numPr>
        <w:spacing w:after="100"/>
      </w:pPr>
      <w:r>
        <w:rPr>
          <w:sz w:val="24"/>
          <w:szCs w:val="24"/>
        </w:rPr>
        <w:t xml:space="preserve">Value (V): “What information will I send if selected?”</w:t>
      </w:r>
    </w:p>
    <w:p>
      <w:pPr>
        <w:spacing w:after="80"/>
      </w:pPr>
      <w:r>
        <w:t xml:space="preserve"/>
      </w:r>
    </w:p>
    <w:p>
      <w:pPr>
        <w:spacing w:after="160"/>
      </w:pPr>
      <w:r>
        <w:rPr>
          <w:sz w:val="24"/>
          <w:szCs w:val="24"/>
        </w:rPr>
        <w:t xml:space="preserve">The attention score between item i (the receiver) and item j (the sender) is computed as the dot product of i’s query and j’s key, scaled by the square root of the dimension: score(i,j) = (Q_i · K_j) / √dim. A high score means item i and item j are compatible — j has what i is looking for.</w:t>
      </w:r>
    </w:p>
    <w:p>
      <w:pPr>
        <w:spacing w:after="160"/>
      </w:pPr>
      <w:r>
        <w:rPr>
          <w:sz w:val="24"/>
          <w:szCs w:val="24"/>
        </w:rPr>
        <w:t xml:space="preserve">These scores are then normalised with softmax across all senders j. Softmax converts raw scores into a probability distribution: the sender with the highest score gets most of the weight, and the weights sum to 1. The output is a weighted sum of Value vectors: output_i = Σ_j softmax(score(i,j)) · V_j.</w:t>
      </w:r>
    </w:p>
    <w:p>
      <w:pPr>
        <w:spacing w:after="160"/>
      </w:pPr>
      <w:r>
        <w:rPr>
          <w:sz w:val="24"/>
          <w:szCs w:val="24"/>
        </w:rPr>
        <w:t xml:space="preserve">This is the key difference from convolution: the weights are computed from the content at runtime, not fixed during training. The model can learn to attend to structurally informative neighbours and ignore irrelevant ones, and this decision can be different for every residue and every input structure.</w:t>
      </w:r>
    </w:p>
    <w:p>
      <w:pPr>
        <w:pStyle w:val="Heading2"/>
      </w:pPr>
      <w:r>
        <w:t xml:space="preserve">6.3 Asymmetric attention: what “asymmetric” means</w:t>
      </w:r>
    </w:p>
    <w:p>
      <w:pPr>
        <w:spacing w:after="160"/>
      </w:pPr>
      <w:r>
        <w:rPr>
          <w:sz w:val="24"/>
          <w:szCs w:val="24"/>
        </w:rPr>
        <w:t xml:space="preserve">In a standard self-attention (as in a transformer), each item attends to other items of the same type: residues attend to other residues. The query and key come from the same set of items.</w:t>
      </w:r>
    </w:p>
    <w:p>
      <w:pPr>
        <w:spacing w:after="160"/>
      </w:pPr>
      <w:r>
        <w:rPr>
          <w:sz w:val="24"/>
          <w:szCs w:val="24"/>
        </w:rPr>
        <w:t xml:space="preserve">In the AsymmetricTopoNet, attention crosses ranks. For example, when updating an edge (Rank 1), the edge uses its own features to form a Query, but the Keys and Values come from the source node (Rank 0). The edge is asking: “how relevant is my source node to me?” The answer shapes how the edge updates its own representation. This is asymmetric because the query and key/value come from different ranks.</w:t>
      </w:r>
    </w:p>
    <w:p>
      <w:pPr>
        <w:spacing w:after="160"/>
      </w:pPr>
      <w:r>
        <w:rPr>
          <w:sz w:val="24"/>
          <w:szCs w:val="24"/>
        </w:rPr>
        <w:t xml:space="preserve">This asymmetry is motivated by the HOAN (Higher-Order Attention Network) formalism. HOAN symmetry refers to a mathematical consistency requirement: the message passed from cell A to cell B should not depend on B’s current features. If it did, the computation would be circular (B’s update depends on A, which depends on B). In the asymmetric formulation, the key and value always come from the sender, and the query from the receiver — so the message is determined purely by the sender’s content, and the receiver uses its query to select how much of that message to accept. HOAN symmetry is preserved.</w:t>
      </w:r>
    </w:p>
    <w:p>
      <w:pPr>
        <w:spacing w:after="160"/>
      </w:pPr>
      <w:r>
        <w:rPr>
          <w:sz w:val="24"/>
          <w:szCs w:val="24"/>
        </w:rPr>
        <w:t xml:space="preserve">The original symmetric Topotein sometimes violated this principle by mixing sender and receiver features in the attention computation. The asymmetric version is theoretically cleaner and, in practice, more stable to train.</w:t>
      </w:r>
    </w:p>
    <w:p>
      <w:pPr>
        <w:pStyle w:val="Heading2"/>
      </w:pPr>
      <w:r>
        <w:t xml:space="preserve">6.4 The four message passing steps inside each layer</w:t>
      </w:r>
    </w:p>
    <w:p>
      <w:pPr>
        <w:spacing w:after="160"/>
      </w:pPr>
      <w:r>
        <w:rPr>
          <w:sz w:val="24"/>
          <w:szCs w:val="24"/>
        </w:rPr>
        <w:t xml:space="preserve">Each AsymmetricTopoAttentionLayer performs four operations in a fixed order. The order is not arbitrary — it reflects a causal direction of information flow.</w:t>
      </w:r>
    </w:p>
    <w:p>
      <w:pPr>
        <w:pStyle w:val="Heading3"/>
      </w:pPr>
      <w:r>
        <w:t xml:space="preserve">Step 1: Update edges from source nodes (Rank 1 ← Rank 0)</w:t>
      </w:r>
    </w:p>
    <w:p>
      <w:pPr>
        <w:spacing w:after="160"/>
      </w:pPr>
      <w:r>
        <w:rPr>
          <w:sz w:val="24"/>
          <w:szCs w:val="24"/>
        </w:rPr>
        <w:t xml:space="preserve">Each edge queries its source node: “what is my source residue currently representing?” The edge forms a query from its own 128-dim embedding. The source node provides keys and values from its own 128-dim embedding. The attention score determines how much of the source node’s information flows into the edge. After aggregation, the edge passes through a Feed-Forward Network (FFN) and a residual connection + LayerNorm.</w:t>
      </w:r>
    </w:p>
    <w:p>
      <w:pPr>
        <w:spacing w:after="160"/>
      </w:pPr>
      <w:r>
        <w:rPr>
          <w:sz w:val="24"/>
          <w:szCs w:val="24"/>
        </w:rPr>
        <w:t xml:space="preserve">Biological intuition: an edge represents a contact between two residues. By querying the source residue first, the edge learns “what kind of residue is initiating this contact?” This sets up the edge representation before it is used to update the target residue.</w:t>
      </w:r>
    </w:p>
    <w:p>
      <w:pPr>
        <w:pStyle w:val="Heading3"/>
      </w:pPr>
      <w:r>
        <w:t xml:space="preserve">Step 2: Update SSEs from nodes (Rank 2 ← Rank 0)</w:t>
      </w:r>
    </w:p>
    <w:p>
      <w:pPr>
        <w:spacing w:after="160"/>
      </w:pPr>
      <w:r>
        <w:rPr>
          <w:sz w:val="24"/>
          <w:szCs w:val="24"/>
        </w:rPr>
        <w:t xml:space="preserve">Each SSE (helix or sheet) queries all its constituent residues simultaneously. The SSE forms a query; each residue in that SSE provides a key and value. Attention is normalised by softmax over all residues in the SSE (so the SSE can focus on its most structurally distinctive residues). The SSE passes through an FFN and residual + LayerNorm.</w:t>
      </w:r>
    </w:p>
    <w:p>
      <w:pPr>
        <w:spacing w:after="160"/>
      </w:pPr>
      <w:r>
        <w:rPr>
          <w:sz w:val="24"/>
          <w:szCs w:val="24"/>
        </w:rPr>
        <w:t xml:space="preserve">Why before updating nodes? The SSEs are updated while the node representations still reflect the input features plus the edge information from step 1. If we updated nodes first (step 3), SSEs would be pulling from node representations that have already been influenced by edge-level message passing. By updating SSEs first, we keep the information flow clean: SSEs aggregate “pure” node information, and then the updated SSEs feed into the node update.</w:t>
      </w:r>
    </w:p>
    <w:p>
      <w:pPr>
        <w:pStyle w:val="Heading3"/>
      </w:pPr>
      <w:r>
        <w:t xml:space="preserve">Step 3: Update nodes from edges (Rank 0 ← Rank 1)</w:t>
      </w:r>
    </w:p>
    <w:p>
      <w:pPr>
        <w:spacing w:after="160"/>
      </w:pPr>
      <w:r>
        <w:rPr>
          <w:sz w:val="24"/>
          <w:szCs w:val="24"/>
        </w:rPr>
        <w:t xml:space="preserve">Each node queries all its incoming edges: “which of my contacts are most relevant to my current state?” The node forms a query; each incoming edge (updated in step 1) provides a key and value. Softmax normalisation is applied over all incoming edges. The node aggregates the weighted values, passes through an FFN and residual + LayerNorm.</w:t>
      </w:r>
    </w:p>
    <w:p>
      <w:pPr>
        <w:spacing w:after="160"/>
      </w:pPr>
      <w:r>
        <w:rPr>
          <w:sz w:val="24"/>
          <w:szCs w:val="24"/>
        </w:rPr>
        <w:t xml:space="preserve">Biological intuition: this is the core structural update. Each residue is learning from its 3D context — but because the edges have already been updated from their source nodes (step 1), the messages arriving at the node carry richer information than just raw residue features.</w:t>
      </w:r>
    </w:p>
    <w:p>
      <w:pPr>
        <w:pStyle w:val="Heading3"/>
      </w:pPr>
      <w:r>
        <w:t xml:space="preserve">Step 4: Update the global protein embedding (Rank 3 ← Rank 0 + Rank 2)</w:t>
      </w:r>
    </w:p>
    <w:p>
      <w:pPr>
        <w:spacing w:after="160"/>
      </w:pPr>
      <w:r>
        <w:rPr>
          <w:sz w:val="24"/>
          <w:szCs w:val="24"/>
        </w:rPr>
        <w:t xml:space="preserve">After residues and SSEs have been updated, their representations are mean-pooled across the protein to produce two aggregate vectors: one over all residues (h0_pool) and one over all SSEs (h2_pool). These are concatenated with the current global embedding (h3) and passed through a linear layer + LayerNorm. The global embedding thus accumulates a running summary of the protein’s state at every layer.</w:t>
      </w:r>
    </w:p>
    <w:p>
      <w:pPr>
        <w:spacing w:after="160"/>
      </w:pPr>
      <w:r>
        <w:rPr>
          <w:sz w:val="24"/>
          <w:szCs w:val="24"/>
        </w:rPr>
        <w:t xml:space="preserve">This design means h3 sees the protein at four levels of abstraction (after each of the 4 layers) before contributing to the final output. The risk is that h3 becomes a shortcut: it starts with global features like protein size and radius of gyration, which are strong proxies for fold family, so gradients can flow directly from the loss through h3 without the model needing to learn anything about residue-level topology. The detach_h3 mechanism addresses this (Section 6.7).</w:t>
      </w:r>
    </w:p>
    <w:p>
      <w:pPr>
        <w:pStyle w:val="Heading2"/>
      </w:pPr>
      <w:r>
        <w:t xml:space="preserve">6.5 Residual connections and LayerNorm</w:t>
      </w:r>
    </w:p>
    <w:p>
      <w:pPr>
        <w:spacing w:after="160"/>
      </w:pPr>
      <w:r>
        <w:rPr>
          <w:sz w:val="24"/>
          <w:szCs w:val="24"/>
        </w:rPr>
        <w:t xml:space="preserve">Every update in every step follows the pattern: h = LayerNorm(h + f(h)), where f is the attention + FFN computation. The “h +” part is a residual connection (also called a skip connection).</w:t>
      </w:r>
    </w:p>
    <w:p>
      <w:pPr>
        <w:spacing w:after="160"/>
      </w:pPr>
      <w:r>
        <w:rPr>
          <w:sz w:val="24"/>
          <w:szCs w:val="24"/>
        </w:rPr>
        <w:t xml:space="preserve">To understand why this matters, consider what happens in a deep network without residual connections. During backpropagation (the process by which training errors are translated into parameter updates), gradients must travel backward through every layer. Each layer can shrink or amplify the gradient. In a network with many layers, gradients often become vanishingly small by the time they reach the first layer — the “vanishing gradient” problem. The first layers therefore receive almost no training signal and fail to learn.</w:t>
      </w:r>
    </w:p>
    <w:p>
      <w:pPr>
        <w:spacing w:after="160"/>
      </w:pPr>
      <w:r>
        <w:rPr>
          <w:sz w:val="24"/>
          <w:szCs w:val="24"/>
        </w:rPr>
        <w:t xml:space="preserve">Residual connections solve this by providing a “direct highway” for gradients that bypasses the transformation: the gradient of LayerNorm(h + f(h)) with respect to h always includes a direct term of 1, regardless of what f does. This means gradients can always flow backward to the first layer at full strength.</w:t>
      </w:r>
    </w:p>
    <w:p>
      <w:pPr>
        <w:spacing w:after="160"/>
      </w:pPr>
      <w:r>
        <w:rPr>
          <w:sz w:val="24"/>
          <w:szCs w:val="24"/>
        </w:rPr>
        <w:t xml:space="preserve">LayerNorm (Layer Normalisation) normalises the features of each individual example independently, subtracting the mean and dividing by the standard deviation across the 128 feature dimensions. This is different from BatchNorm, which normalises across examples in a batch. LayerNorm is preferred here because:</w:t>
      </w:r>
    </w:p>
    <w:p>
      <w:pPr>
        <w:pStyle w:val="ListParagraph"/>
        <w:numPr>
          <w:ilvl w:val="0"/>
          <w:numId w:val="2"/>
        </w:numPr>
        <w:spacing w:after="100"/>
      </w:pPr>
      <w:r>
        <w:rPr>
          <w:sz w:val="24"/>
          <w:szCs w:val="24"/>
        </w:rPr>
        <w:t xml:space="preserve">Batch sizes in this training setup are small and variable (limited by GPU memory), making BatchNorm statistics unreliable.</w:t>
      </w:r>
    </w:p>
    <w:p>
      <w:pPr>
        <w:pStyle w:val="ListParagraph"/>
        <w:numPr>
          <w:ilvl w:val="0"/>
          <w:numId w:val="2"/>
        </w:numPr>
        <w:spacing w:after="100"/>
      </w:pPr>
      <w:r>
        <w:rPr>
          <w:sz w:val="24"/>
          <w:szCs w:val="24"/>
        </w:rPr>
        <w:t xml:space="preserve">LayerNorm is applied per-example, making it independent of batch composition.</w:t>
      </w:r>
    </w:p>
    <w:p>
      <w:pPr>
        <w:pStyle w:val="ListParagraph"/>
        <w:numPr>
          <w:ilvl w:val="0"/>
          <w:numId w:val="2"/>
        </w:numPr>
        <w:spacing w:after="100"/>
      </w:pPr>
      <w:r>
        <w:rPr>
          <w:sz w:val="24"/>
          <w:szCs w:val="24"/>
        </w:rPr>
        <w:t xml:space="preserve">It prevents internal covariate shift (the problem where the distribution of activations changes during training, destabilising learning).</w:t>
      </w:r>
    </w:p>
    <w:p>
      <w:pPr>
        <w:pStyle w:val="Heading2"/>
      </w:pPr>
      <w:r>
        <w:t xml:space="preserve">6.6 Feed-Forward Networks (FFNs) and SiLU</w:t>
      </w:r>
    </w:p>
    <w:p>
      <w:pPr>
        <w:spacing w:after="160"/>
      </w:pPr>
      <w:r>
        <w:rPr>
          <w:sz w:val="24"/>
          <w:szCs w:val="24"/>
        </w:rPr>
        <w:t xml:space="preserve">After each attention step, the updated features pass through a Feed-Forward Network: Linear(128 → 256) → SiLU → Dropout → Linear(256 → 128). This exists at every rank inside every layer.</w:t>
      </w:r>
    </w:p>
    <w:p>
      <w:pPr>
        <w:spacing w:after="160"/>
      </w:pPr>
      <w:r>
        <w:rPr>
          <w:sz w:val="24"/>
          <w:szCs w:val="24"/>
        </w:rPr>
        <w:t xml:space="preserve">Why is the FFN necessary? Attention is fundamentally a weighted average — it combines Value vectors linearly. A linear combination cannot represent non-linear relationships between features. The FFN introduces the non-linearity that lets the model learn complex transformations. The standard analogy from the transformer literature is: attention decides “where to look”, the FFN decides “what to do with what you found.”</w:t>
      </w:r>
    </w:p>
    <w:p>
      <w:pPr>
        <w:spacing w:after="160"/>
      </w:pPr>
      <w:r>
        <w:rPr>
          <w:sz w:val="24"/>
          <w:szCs w:val="24"/>
        </w:rPr>
        <w:t xml:space="preserve">SiLU (Sigmoid Linear Unit), also called Swish, is the activation function used instead of the more common ReLU. SiLU is defined as f(x) = x × sigmoid(x). Unlike ReLU, which is exactly zero for all negative inputs (the “dying ReLU” problem), SiLU has a small non-zero gradient for negative inputs. This means neurons never become permanently inactive during training. SiLU also has a smooth curve rather than a sharp corner at 0, which produces better-behaved gradients throughout training. In practice, SiLU tends to outperform ReLU on attention-based architectures.</w:t>
      </w:r>
    </w:p>
    <w:p>
      <w:pPr>
        <w:pStyle w:val="Heading2"/>
      </w:pPr>
      <w:r>
        <w:t xml:space="preserve">6.7 The geometric distance bias (dist_bias_gamma)</w:t>
      </w:r>
    </w:p>
    <w:p>
      <w:pPr>
        <w:spacing w:after="160"/>
      </w:pPr>
      <w:r>
        <w:rPr>
          <w:sz w:val="24"/>
          <w:szCs w:val="24"/>
        </w:rPr>
        <w:t xml:space="preserve">This is one of three architectural fixes introduced in response to the TM-score analysis. It addresses a specific failure mode: the model’s attention mechanisms tend to be driven by sequence proximity rather than 3D spatial proximity.</w:t>
      </w:r>
    </w:p>
    <w:p>
      <w:pPr>
        <w:spacing w:after="160"/>
      </w:pPr>
      <w:r>
        <w:rPr>
          <w:sz w:val="24"/>
          <w:szCs w:val="24"/>
        </w:rPr>
        <w:t xml:space="preserve">The problem: even with the positional encoding removed, attention scores are computed from feature similarities (query dot key). Residues that are adjacent in sequence tend to have similar features (they are in the same secondary structure element, they have been updated together in previous layers). This means attention naturally gravitates toward sequence-adjacent residues, which makes the model’s message passing similar to a 1D sequence model — exactly the wrong behaviour for a structural encoder.</w:t>
      </w:r>
    </w:p>
    <w:p>
      <w:pPr>
        <w:spacing w:after="160"/>
      </w:pPr>
      <w:r>
        <w:rPr>
          <w:sz w:val="24"/>
          <w:szCs w:val="24"/>
        </w:rPr>
        <w:t xml:space="preserve">The fix: add a geometric bias directly to the attention logit before softmax: logit(i,j) = (Q_i · K_j) / √dim − γ × distance(i,j), where distance(i,j) is the Cα-Cα distance between residues i and j. The term −γ × distance means that geometrically closer residues get a higher logit, and therefore higher attention weight, regardless of feature similarity. This is additive to the logit (before softmax) because softmax is applied to logits — the bias therefore affects the final attention weights after normalisation.</w:t>
      </w:r>
    </w:p>
    <w:p>
      <w:pPr>
        <w:spacing w:after="160"/>
      </w:pPr>
      <w:r>
        <w:rPr>
          <w:sz w:val="24"/>
          <w:szCs w:val="24"/>
        </w:rPr>
        <w:t xml:space="preserve">With γ = 0 (the default, which reproduces the original behavior), the bias is absent. With γ &gt; 0 (the recommended setting from the TM-score analysis), attention is anchored to 3D proximity. The diagnostics showed that after removing positional encoding, the attention-sequence correlation was 0.39 and attention-3D correlation was 0.33 — sequence still barely dominates. Adding the distance bias is the next intervention to invert this.</w:t>
      </w:r>
    </w:p>
    <w:p>
      <w:pPr>
        <w:pStyle w:val="Heading2"/>
      </w:pPr>
      <w:r>
        <w:t xml:space="preserve">6.8 The detach_h3 mechanism</w:t>
      </w:r>
    </w:p>
    <w:p>
      <w:pPr>
        <w:spacing w:after="160"/>
      </w:pPr>
      <w:r>
        <w:rPr>
          <w:sz w:val="24"/>
          <w:szCs w:val="24"/>
        </w:rPr>
        <w:t xml:space="preserve">To understand this, you first need to understand backpropagation — the algorithm that trains the model.</w:t>
      </w:r>
    </w:p>
    <w:p>
      <w:pPr>
        <w:spacing w:after="160"/>
      </w:pPr>
      <w:r>
        <w:rPr>
          <w:sz w:val="24"/>
          <w:szCs w:val="24"/>
        </w:rPr>
        <w:t xml:space="preserve">When the model makes a prediction and incurs a loss (a measure of how wrong it was), backpropagation computes the gradient of that loss with respect to every parameter in the model. It does this by tracing the computation backward through the network: the loss gradient flows backward from the output, through the output head, through the layers, all the way to the input embeddings. Parameters are updated in proportion to their gradient — if a parameter had a large effect on the loss, it gets a large update.</w:t>
      </w:r>
    </w:p>
    <w:p>
      <w:pPr>
        <w:spacing w:after="160"/>
      </w:pPr>
      <w:r>
        <w:rPr>
          <w:sz w:val="24"/>
          <w:szCs w:val="24"/>
        </w:rPr>
        <w:t xml:space="preserve">The h3 gradient path is a shortcut. Here is the problem: h3 starts with protein-level features like protein size and radius of gyration. Fold families have characteristic size distributions (large dsDNA virus proteins tend to be larger; capsid proteins tend to be small). The contrastive loss can be reduced by encoding cluster membership in h3 alone — the model just needs to learn that “large protein → embedding direction X” without examining any residue-level geometry. This is faster and easier than learning topology, so the model will prefer it if the gradient path is open.</w:t>
      </w:r>
    </w:p>
    <w:p>
      <w:pPr>
        <w:spacing w:after="160"/>
      </w:pPr>
      <w:r>
        <w:rPr>
          <w:sz w:val="24"/>
          <w:szCs w:val="24"/>
        </w:rPr>
        <w:t xml:space="preserve">Detaching h3 closes this shortcut gradient path. When detach_h3=True, the pooled features (h0_pool and h2_pool) fed into the h3 update are detached from the computation graph. This means:</w:t>
      </w:r>
    </w:p>
    <w:p>
      <w:pPr>
        <w:pStyle w:val="ListParagraph"/>
        <w:numPr>
          <w:ilvl w:val="0"/>
          <w:numId w:val="2"/>
        </w:numPr>
        <w:spacing w:after="100"/>
      </w:pPr>
      <w:r>
        <w:rPr>
          <w:sz w:val="24"/>
          <w:szCs w:val="24"/>
        </w:rPr>
        <w:t xml:space="preserve">The forward pass is unchanged: h3 still receives the pooled features and updates normally. The protein-level context is still available.</w:t>
      </w:r>
    </w:p>
    <w:p>
      <w:pPr>
        <w:pStyle w:val="ListParagraph"/>
        <w:numPr>
          <w:ilvl w:val="0"/>
          <w:numId w:val="2"/>
        </w:numPr>
        <w:spacing w:after="100"/>
      </w:pPr>
      <w:r>
        <w:rPr>
          <w:sz w:val="24"/>
          <w:szCs w:val="24"/>
        </w:rPr>
        <w:t xml:space="preserve">The backward pass cannot flow through h3 back to the node features. Gradients cannot use h3 as a shortcut to avoid learning residue-level topology.</w:t>
      </w:r>
    </w:p>
    <w:p>
      <w:pPr>
        <w:spacing w:after="80"/>
      </w:pPr>
      <w:r>
        <w:t xml:space="preserve"/>
      </w:r>
    </w:p>
    <w:p>
      <w:pPr>
        <w:spacing w:after="160"/>
      </w:pPr>
      <w:r>
        <w:rPr>
          <w:sz w:val="24"/>
          <w:szCs w:val="24"/>
        </w:rPr>
        <w:t xml:space="preserve">The 20% size dropout in the training loop (“randomly replace protein_size with 500 and radius_of_gyration with 0 for 20% of training examples”) is indirect evidence that this shortcut was active: if h3’s global features were not being exploited, randomly zeroing them would have no effect on training.</w:t>
      </w:r>
    </w:p>
    <w:p>
      <w:pPr>
        <w:pStyle w:val="Heading2"/>
      </w:pPr>
      <w:r>
        <w:t xml:space="preserve">6.9 The output head: h0_pool + h3 and mean pooling</w:t>
      </w:r>
    </w:p>
    <w:p>
      <w:pPr>
        <w:spacing w:after="160"/>
      </w:pPr>
      <w:r>
        <w:rPr>
          <w:sz w:val="24"/>
          <w:szCs w:val="24"/>
        </w:rPr>
        <w:t xml:space="preserve">After 4 layers of message passing, the model produces per-residue embeddings (h0, 128-dim per residue) and a global embedding (h3, 128-dim for the whole protein). The output head:</w:t>
      </w:r>
    </w:p>
    <w:p>
      <w:pPr>
        <w:pStyle w:val="ListParagraph"/>
        <w:numPr>
          <w:ilvl w:val="0"/>
          <w:numId w:val="2"/>
        </w:numPr>
        <w:spacing w:after="100"/>
      </w:pPr>
      <w:r>
        <w:rPr>
          <w:sz w:val="24"/>
          <w:szCs w:val="24"/>
        </w:rPr>
        <w:t xml:space="preserve">Mean-pools h0 across all residues: h0_pool = (1/N) Σ_i h0_i</w:t>
      </w:r>
    </w:p>
    <w:p>
      <w:pPr>
        <w:pStyle w:val="ListParagraph"/>
        <w:numPr>
          <w:ilvl w:val="0"/>
          <w:numId w:val="2"/>
        </w:numPr>
        <w:spacing w:after="100"/>
      </w:pPr>
      <w:r>
        <w:rPr>
          <w:sz w:val="24"/>
          <w:szCs w:val="24"/>
        </w:rPr>
        <w:t xml:space="preserve">Concatenates h0_pool and h3 to form a 256-dim vector</w:t>
      </w:r>
    </w:p>
    <w:p>
      <w:pPr>
        <w:pStyle w:val="ListParagraph"/>
        <w:numPr>
          <w:ilvl w:val="0"/>
          <w:numId w:val="2"/>
        </w:numPr>
        <w:spacing w:after="100"/>
      </w:pPr>
      <w:r>
        <w:rPr>
          <w:sz w:val="24"/>
          <w:szCs w:val="24"/>
        </w:rPr>
        <w:t xml:space="preserve">Passes through a 2-layer MLP: Linear(256→128) → LayerNorm → SiLU → Linear(128→128) → LayerNorm</w:t>
      </w:r>
    </w:p>
    <w:p>
      <w:pPr>
        <w:pStyle w:val="ListParagraph"/>
        <w:numPr>
          <w:ilvl w:val="0"/>
          <w:numId w:val="2"/>
        </w:numPr>
        <w:spacing w:after="100"/>
      </w:pPr>
      <w:r>
        <w:rPr>
          <w:sz w:val="24"/>
          <w:szCs w:val="24"/>
        </w:rPr>
        <w:t xml:space="preserve">Applies L2 normalisation to produce the final 128-dim unit vector</w:t>
      </w:r>
    </w:p>
    <w:p>
      <w:pPr>
        <w:spacing w:after="80"/>
      </w:pPr>
      <w:r>
        <w:t xml:space="preserve"/>
      </w:r>
    </w:p>
    <w:p>
      <w:pPr>
        <w:spacing w:after="160"/>
      </w:pPr>
      <w:r>
        <w:rPr>
          <w:sz w:val="24"/>
          <w:szCs w:val="24"/>
        </w:rPr>
        <w:t xml:space="preserve">The concatenation of h0_pool and h3 is a design choice with consequences. h3 captures global protein shape (size, radius of gyration, PCA eigenvalues) and is updated at every layer — it is a running summary of the protein at the fold level. h0_pool captures the average residue representation after all message passing — it reflects the local structural context averaged over the whole protein.</w:t>
      </w:r>
    </w:p>
    <w:p>
      <w:pPr>
        <w:spacing w:after="160"/>
      </w:pPr>
      <w:r>
        <w:rPr>
          <w:sz w:val="24"/>
          <w:szCs w:val="24"/>
        </w:rPr>
        <w:t xml:space="preserve">Mean pooling has a known limitation for metric learning: it collapses the per-residue representation into an average, losing all information about the spatial arrangement of residues. Two proteins with the same amino acid composition but different folds (e.g., a helix bundle and a β-barrel) can have similar mean-pooled representations if their average residue features are similar. The TM-score analysis identifies this as the third root cause of ρ ≈ 0 (Section 13). Attention-based pooling (where a learned query vector attends differently to different residues, focusing on structurally discriminative ones) is proposed as the fix.</w:t>
      </w:r>
    </w:p>
    <w:p>
      <w:r>
        <w:br w:type="page"/>
      </w:r>
    </w:p>
    <w:p>
      <w:pPr>
        <w:pStyle w:val="Heading1"/>
      </w:pPr>
      <w:r>
        <w:t xml:space="preserve">7. The Training Objective: NT-Xent and SupCon</w:t>
      </w:r>
    </w:p>
    <w:p>
      <w:pPr>
        <w:pStyle w:val="Heading2"/>
      </w:pPr>
      <w:r>
        <w:t xml:space="preserve">7.1 What contrastive learning does</w:t>
      </w:r>
    </w:p>
    <w:p>
      <w:pPr>
        <w:spacing w:after="160"/>
      </w:pPr>
      <w:r>
        <w:rPr>
          <w:sz w:val="24"/>
          <w:szCs w:val="24"/>
        </w:rPr>
        <w:t xml:space="preserve">The model is trained with contrastive learning, which is a form of self-supervised or semi-supervised learning that teaches the model to produce embeddings where similar things are close together and dissimilar things are far apart.</w:t>
      </w:r>
    </w:p>
    <w:p>
      <w:pPr>
        <w:spacing w:after="160"/>
      </w:pPr>
      <w:r>
        <w:rPr>
          <w:sz w:val="24"/>
          <w:szCs w:val="24"/>
        </w:rPr>
        <w:t xml:space="preserve">The core idea: give the model a set of proteins. For each protein (the “anchor”), identify a set of “positive” examples (proteins that should be close in embedding space) and a set of “negative” examples (proteins that should be far away). The loss function rewards the model for placing positives close to the anchor and penalises it for placing negatives close to the anchor.</w:t>
      </w:r>
    </w:p>
    <w:p>
      <w:pPr>
        <w:spacing w:after="160"/>
      </w:pPr>
      <w:r>
        <w:rPr>
          <w:sz w:val="24"/>
          <w:szCs w:val="24"/>
        </w:rPr>
        <w:t xml:space="preserve">This is different from classification. In classification, you train the model to predict a label (e.g., “this is a kinase”). In contrastive learning, you train the model to produce a geometry in embedding space, without necessarily assigning discrete labels. The result is an embedding space where distance is meaningful — useful for retrieval, nearest-neighbour search, and clustering.</w:t>
      </w:r>
    </w:p>
    <w:p>
      <w:pPr>
        <w:pStyle w:val="Heading2"/>
      </w:pPr>
      <w:r>
        <w:t xml:space="preserve">7.2 NT-Xent: the loss function</w:t>
      </w:r>
    </w:p>
    <w:p>
      <w:pPr>
        <w:spacing w:after="160"/>
      </w:pPr>
      <w:r>
        <w:rPr>
          <w:sz w:val="24"/>
          <w:szCs w:val="24"/>
        </w:rPr>
        <w:t xml:space="preserve">The specific loss used is NT-Xent (Normalised Temperature-scaled Cross-Entropy), also called InfoNCE. For a batch of N proteins, each protein i has one positive partner j+ and (N-1) negatives. The loss for anchor i is:</w:t>
      </w:r>
    </w:p>
    <w:p>
      <w:pPr>
        <w:spacing w:after="160"/>
      </w:pPr>
      <w:r>
        <w:rPr>
          <w:sz w:val="24"/>
          <w:szCs w:val="24"/>
        </w:rPr>
        <w:t xml:space="preserve">L_i = − log [ exp(sim(z_i, z_j+) / τ) / Σ_{k≠i} exp(sim(z_i, z_k) / τ) ]</w:t>
      </w:r>
    </w:p>
    <w:p>
      <w:pPr>
        <w:spacing w:after="160"/>
      </w:pPr>
      <w:r>
        <w:rPr>
          <w:sz w:val="24"/>
          <w:szCs w:val="24"/>
        </w:rPr>
        <w:t xml:space="preserve">where sim(z_i, z_j) is the cosine similarity between embeddings, and τ is the temperature hyperparameter. The loss is a cross-entropy over the batch: the model must identify, among all other proteins in the batch, which one is the positive. The lower the loss, the more confidently the model places the positive closer to the anchor than all negatives.</w:t>
      </w:r>
    </w:p>
    <w:p>
      <w:pPr>
        <w:pStyle w:val="Heading2"/>
      </w:pPr>
      <w:r>
        <w:t xml:space="preserve">7.3 The temperature parameter (τ)</w:t>
      </w:r>
    </w:p>
    <w:p>
      <w:pPr>
        <w:spacing w:after="160"/>
      </w:pPr>
      <w:r>
        <w:rPr>
          <w:sz w:val="24"/>
          <w:szCs w:val="24"/>
        </w:rPr>
        <w:t xml:space="preserve">The temperature τ controls the sharpness of the distribution over negatives.</w:t>
      </w:r>
    </w:p>
    <w:p>
      <w:pPr>
        <w:spacing w:after="160"/>
      </w:pPr>
      <w:r>
        <w:rPr>
          <w:sz w:val="24"/>
          <w:szCs w:val="24"/>
        </w:rPr>
        <w:t xml:space="preserve">With a high temperature (e.g., τ = 1.0), the exp() terms vary gently. Even proteins that are moderately far from the anchor contribute meaningfully to the denominator. The loss is “soft”: the model is penalised for all negatives roughly equally.</w:t>
      </w:r>
    </w:p>
    <w:p>
      <w:pPr>
        <w:spacing w:after="160"/>
      </w:pPr>
      <w:r>
        <w:rPr>
          <w:sz w:val="24"/>
          <w:szCs w:val="24"/>
        </w:rPr>
        <w:t xml:space="preserve">With a low temperature (e.g., τ = 0.1), the exp() terms are extreme: the negative with the highest similarity score dominates the denominator. The loss is “sharp”: the model is almost entirely penalised for the hardest negative (the most confusable protein in the batch). This forces the model to resolve fine-grained distinctions.</w:t>
      </w:r>
    </w:p>
    <w:p>
      <w:pPr>
        <w:spacing w:after="160"/>
      </w:pPr>
      <w:r>
        <w:rPr>
          <w:sz w:val="24"/>
          <w:szCs w:val="24"/>
        </w:rPr>
        <w:t xml:space="preserve">In practice, low temperatures produce better embeddings for retrieval tasks (because the model is forced to separate even the hardest cases) but can cause training instability. The default temperature in the Deltafold training is 0.07, which is on the low end — consistent with prioritising hard negative separation.</w:t>
      </w:r>
    </w:p>
    <w:p>
      <w:pPr>
        <w:pStyle w:val="Heading2"/>
      </w:pPr>
      <w:r>
        <w:t xml:space="preserve">7.4 SupCon: using cluster labels as positives</w:t>
      </w:r>
    </w:p>
    <w:p>
      <w:pPr>
        <w:spacing w:after="160"/>
      </w:pPr>
      <w:r>
        <w:rPr>
          <w:sz w:val="24"/>
          <w:szCs w:val="24"/>
        </w:rPr>
        <w:t xml:space="preserve">Standard NT-Xent creates positives by augmenting the same protein twice: the two augmented views of protein i are the positive pair. Supervised Contrastive Learning (SupCon) generalises this: instead of defining positives as “two views of the same protein”, positives are defined as “all proteins in the same Foldseek cluster.”</w:t>
      </w:r>
    </w:p>
    <w:p>
      <w:pPr>
        <w:spacing w:after="160"/>
      </w:pPr>
      <w:r>
        <w:rPr>
          <w:sz w:val="24"/>
          <w:szCs w:val="24"/>
        </w:rPr>
        <w:t xml:space="preserve">Concretely: if protein A and protein B are in the same Foldseek cluster, they are a positive pair. Proteins from different clusters are negatives. The loss pushes all same-cluster proteins together and pushes different-cluster proteins apart.</w:t>
      </w:r>
    </w:p>
    <w:p>
      <w:pPr>
        <w:spacing w:after="160"/>
      </w:pPr>
      <w:r>
        <w:rPr>
          <w:sz w:val="24"/>
          <w:szCs w:val="24"/>
        </w:rPr>
        <w:t xml:space="preserve">This means the model is not just learning to be invariant to augmentation — it is learning to group proteins the way Foldseek does. Any two proteins that Foldseek considers structurally similar (TM-score ≥ 0.4, 70% coverage) should be close in embedding space.</w:t>
      </w:r>
    </w:p>
    <w:p>
      <w:pPr>
        <w:pStyle w:val="Heading2"/>
      </w:pPr>
      <w:r>
        <w:t xml:space="preserve">7.5 Why this cannot learn TM-score directly: the binary ceiling</w:t>
      </w:r>
    </w:p>
    <w:p>
      <w:pPr>
        <w:spacing w:after="160"/>
      </w:pPr>
      <w:r>
        <w:rPr>
          <w:sz w:val="24"/>
          <w:szCs w:val="24"/>
        </w:rPr>
        <w:t xml:space="preserve">This is the single most important conceptual point in the whole project. SupCon has a mathematical ceiling on what it can learn.</w:t>
      </w:r>
    </w:p>
    <w:p>
      <w:pPr>
        <w:spacing w:after="160"/>
      </w:pPr>
      <w:r>
        <w:rPr>
          <w:sz w:val="24"/>
          <w:szCs w:val="24"/>
        </w:rPr>
        <w:t xml:space="preserve">SupCon optimises a binary signal: same cluster = positive, different cluster = negative. The optimal solution to SupCon is an embedding where every same-cluster pair has cosine distance ≈ 0 and every different-cluster pair has cosine distance ≈ 1. This is a step function: 0 inside clusters, 1 across clusters.</w:t>
      </w:r>
    </w:p>
    <w:p>
      <w:pPr>
        <w:spacing w:after="160"/>
      </w:pPr>
      <w:r>
        <w:rPr>
          <w:sz w:val="24"/>
          <w:szCs w:val="24"/>
        </w:rPr>
        <w:t xml:space="preserve">Now compute the Spearman ρ between this step function and TM-score. Within a cluster, TM-score varies continuously from 0.40 to 0.99. But the embedding distance is 0 for all of them. The rank ordering of TM-score within a cluster has no corresponding rank ordering of distances. Across clusters, TM-score varies from 0.01 to 0.39. But the embedding distance is 1 for all of them.</w:t>
      </w:r>
    </w:p>
    <w:p>
      <w:pPr>
        <w:spacing w:after="160"/>
      </w:pPr>
      <w:r>
        <w:rPr>
          <w:sz w:val="24"/>
          <w:szCs w:val="24"/>
        </w:rPr>
        <w:t xml:space="preserve">The Spearman ρ between this step-function distance and TM-score is 0 by construction. Achieving ARI ≈ 0.40 while ρ ≈ 0 is not a contradiction — it is the expected outcome of training with SupCon. The model has learned exactly what the loss asked it to learn.</w:t>
      </w:r>
    </w:p>
    <w:p>
      <w:pPr>
        <w:spacing w:after="160"/>
      </w:pPr>
      <w:r>
        <w:rPr>
          <w:sz w:val="24"/>
          <w:szCs w:val="24"/>
        </w:rPr>
        <w:t xml:space="preserve">This is not a bug. It is a fundamental objective mismatch. Continuing to train the current configuration will raise ARI further (the validation loss is still declining) but will not move ρ, because ρ is not in the loss. To learn a continuous TM-score-correlated metric, the training objective needs to include a continuous signal — discussed in Section 13.</w:t>
      </w:r>
    </w:p>
    <w:p>
      <w:r>
        <w:br w:type="page"/>
      </w:r>
    </w:p>
    <w:p>
      <w:pPr>
        <w:pStyle w:val="Heading1"/>
      </w:pPr>
      <w:r>
        <w:t xml:space="preserve">8. Training Infrastructure</w:t>
      </w:r>
    </w:p>
    <w:p>
      <w:pPr>
        <w:pStyle w:val="Heading2"/>
      </w:pPr>
      <w:r>
        <w:t xml:space="preserve">8.1 Structural augmentations</w:t>
      </w:r>
    </w:p>
    <w:p>
      <w:pPr>
        <w:spacing w:after="160"/>
      </w:pPr>
      <w:r>
        <w:rPr>
          <w:sz w:val="24"/>
          <w:szCs w:val="24"/>
        </w:rPr>
        <w:t xml:space="preserve">Contrastive learning requires positive pairs. For each protein in the training batch, two augmented views are created and treated as positives. The augmentations simulate the kinds of structural variation that should not affect the embedding — i.e., they model noise, not meaningful structural differences.</w:t>
      </w:r>
    </w:p>
    <w:p>
      <w:pPr>
        <w:spacing w:after="160"/>
      </w:pPr>
      <w:r>
        <w:rPr>
          <w:sz w:val="24"/>
          <w:szCs w:val="24"/>
        </w:rPr>
        <w:t xml:space="preserve">Three augmentations are applied:</w:t>
      </w:r>
    </w:p>
    <w:p>
      <w:pPr>
        <w:pStyle w:val="ListParagraph"/>
        <w:numPr>
          <w:ilvl w:val="0"/>
          <w:numId w:val="2"/>
        </w:numPr>
        <w:spacing w:after="100"/>
      </w:pPr>
      <w:r>
        <w:rPr>
          <w:sz w:val="24"/>
          <w:szCs w:val="24"/>
        </w:rPr>
        <w:t xml:space="preserve">Coordinate jitter: Gaussian noise (σ ≈ 0.3Å) is added to Cα coordinates. This simulates the coordinate uncertainty in ColabFold predictions (typical AlphaFold2 accuracy for high-confidence regions is 0.5–1.5Å RMSD). Two views of the same protein with jitter have TM-score ≈ 0.99 — appropriately close.</w:t>
      </w:r>
    </w:p>
    <w:p>
      <w:pPr>
        <w:pStyle w:val="ListParagraph"/>
        <w:numPr>
          <w:ilvl w:val="0"/>
          <w:numId w:val="2"/>
        </w:numPr>
        <w:spacing w:after="100"/>
      </w:pPr>
      <w:r>
        <w:rPr>
          <w:sz w:val="24"/>
          <w:szCs w:val="24"/>
        </w:rPr>
        <w:t xml:space="preserve">Residue masking: 15% of residues are randomly masked (set to zero). This simulates missing data or low-confidence residues.</w:t>
      </w:r>
    </w:p>
    <w:p>
      <w:pPr>
        <w:pStyle w:val="ListParagraph"/>
        <w:numPr>
          <w:ilvl w:val="0"/>
          <w:numId w:val="2"/>
        </w:numPr>
        <w:spacing w:after="100"/>
      </w:pPr>
      <w:r>
        <w:rPr>
          <w:sz w:val="24"/>
          <w:szCs w:val="24"/>
        </w:rPr>
        <w:t xml:space="preserve">SSE cropping: 10–20% of secondary structure elements are randomly dropped, along with their constituent residues. This simulates structural domains that are truncated or absent in one of two orthologous proteins.</w:t>
      </w:r>
    </w:p>
    <w:p>
      <w:pPr>
        <w:spacing w:after="80"/>
      </w:pPr>
      <w:r>
        <w:t xml:space="preserve"/>
      </w:r>
    </w:p>
    <w:p>
      <w:pPr>
        <w:spacing w:after="160"/>
      </w:pPr>
      <w:r>
        <w:rPr>
          <w:sz w:val="24"/>
          <w:szCs w:val="24"/>
        </w:rPr>
        <w:t xml:space="preserve">SSE cropping is the most dangerous augmentation for TM-score learning. Here is why. TM-score is length-normalised by the shorter structure. If protein A has 3 domains and you crop one domain to create a view, that view has TM-score ≈ 0.65–0.75 with the full protein, not 0.99. The model is trained to treat these two views as identical positives. It is therefore explicitly trained to be invariant to domain-level structural differences — exactly the kind of differences that TM-score is sensitive to. The model is learning the wrong invariance.</w:t>
      </w:r>
    </w:p>
    <w:p>
      <w:pPr>
        <w:spacing w:after="160"/>
      </w:pPr>
      <w:r>
        <w:rPr>
          <w:sz w:val="24"/>
          <w:szCs w:val="24"/>
        </w:rPr>
        <w:t xml:space="preserve">The fix is to limit augmentations to coordinate jitter only (which has negligible TM-score effect), and at most drop individual residues with low pLDDT rather than whole SSEs. Jitter models measurement noise; SSE cropping models evolutionary events. The model should be invariant to noise but sensitive to evolutionary divergence.</w:t>
      </w:r>
    </w:p>
    <w:p>
      <w:pPr>
        <w:pStyle w:val="Heading2"/>
      </w:pPr>
      <w:r>
        <w:t xml:space="preserve">8.2 Hard negative mining</w:t>
      </w:r>
    </w:p>
    <w:p>
      <w:pPr>
        <w:spacing w:after="160"/>
      </w:pPr>
      <w:r>
        <w:rPr>
          <w:sz w:val="24"/>
          <w:szCs w:val="24"/>
        </w:rPr>
        <w:t xml:space="preserve">In contrastive learning, an “easy negative” is a protein that is obviously dissimilar to the anchor — a plant virus protein paired with a bacteriophage protein, say. Easy negatives produce very small gradients: the model already places them far apart, so the loss is nearly zero and the parameters barely update.</w:t>
      </w:r>
    </w:p>
    <w:p>
      <w:pPr>
        <w:spacing w:after="160"/>
      </w:pPr>
      <w:r>
        <w:rPr>
          <w:sz w:val="24"/>
          <w:szCs w:val="24"/>
        </w:rPr>
        <w:t xml:space="preserve">An “hard negative” is a protein that is superficially similar to the anchor but structurally distinct — for example, a protein with a similar length and similar secondary structure composition but a different fold topology. Hard negatives produce large gradients and force the model to learn fine-grained structural discrimination.</w:t>
      </w:r>
    </w:p>
    <w:p>
      <w:pPr>
        <w:spacing w:after="160"/>
      </w:pPr>
      <w:r>
        <w:rPr>
          <w:sz w:val="24"/>
          <w:szCs w:val="24"/>
        </w:rPr>
        <w:t xml:space="preserve">Without hard negative mining, early training is dominated by easy negatives. The model quickly learns coarse distinctions (“RNA virus proteins look different from dsDNA virus proteins”) but stagnates because there is no pressure to resolve finer structural differences.</w:t>
      </w:r>
    </w:p>
    <w:p>
      <w:pPr>
        <w:spacing w:after="160"/>
      </w:pPr>
      <w:r>
        <w:rPr>
          <w:sz w:val="24"/>
          <w:szCs w:val="24"/>
        </w:rPr>
        <w:t xml:space="preserve">The HardNegativeBatchSampler addresses this by constructing batches where proteins are grouped by two proxies for “superficial similarity”: length bucket (proteins of similar length are likely to have similar contact maps) and helix ratio (proteins with similar secondary structure composition are likely to look similar to naive metrics). Within a length/SSE bucket, the model faces proteins that share surface-level properties but may differ in topology — genuine hard negatives.</w:t>
      </w:r>
    </w:p>
    <w:p>
      <w:pPr>
        <w:spacing w:after="160"/>
      </w:pPr>
      <w:r>
        <w:rPr>
          <w:sz w:val="24"/>
          <w:szCs w:val="24"/>
        </w:rPr>
        <w:t xml:space="preserve">The limitation: the sampler does not guarantee that every batch contains at least one positive pair (two proteins from the same Foldseek cluster). With 49 clusters and batches of 16, some sparse length buckets may contain no same-cluster pairs, contributing no positive gradient signal. This is a known engineering gap.</w:t>
      </w:r>
    </w:p>
    <w:p>
      <w:pPr>
        <w:pStyle w:val="Heading2"/>
      </w:pPr>
      <w:r>
        <w:t xml:space="preserve">8.3 The phylogenetic split</w:t>
      </w:r>
    </w:p>
    <w:p>
      <w:pPr>
        <w:spacing w:after="160"/>
      </w:pPr>
      <w:r>
        <w:rPr>
          <w:sz w:val="24"/>
          <w:szCs w:val="24"/>
        </w:rPr>
        <w:t xml:space="preserve">In standard machine learning, datasets are split randomly: 80% train, 20% validation. For Deltafold, a random split would be misleading.</w:t>
      </w:r>
    </w:p>
    <w:p>
      <w:pPr>
        <w:spacing w:after="160"/>
      </w:pPr>
      <w:r>
        <w:rPr>
          <w:sz w:val="24"/>
          <w:szCs w:val="24"/>
        </w:rPr>
        <w:t xml:space="preserve">The problem: viral proteins from the same species or family share not just structure but also amino acid composition biases, length distributions, and codon usage patterns. If protein A (Poxviridae) is in training and protein B (also Poxviridae) is in validation, the model can achieve good validation ARI by memorising Poxvirus-specific features rather than learning general structural principles.</w:t>
      </w:r>
    </w:p>
    <w:p>
      <w:pPr>
        <w:spacing w:after="160"/>
      </w:pPr>
      <w:r>
        <w:rPr>
          <w:sz w:val="24"/>
          <w:szCs w:val="24"/>
        </w:rPr>
        <w:t xml:space="preserve">The phylogenetic split ensures that entire viral taxa (families, in practice) are either entirely in training or entirely in validation. The validation set therefore contains viral families the model has never seen during training.</w:t>
      </w:r>
    </w:p>
    <w:p>
      <w:pPr>
        <w:spacing w:after="160"/>
      </w:pPr>
      <w:r>
        <w:rPr>
          <w:sz w:val="24"/>
          <w:szCs w:val="24"/>
        </w:rPr>
        <w:t xml:space="preserve">This makes the ARI = 0.40 result meaningful. It means the model can generalise its learned fold-family groupings to entirely novel viral lineages — it has not simply memorised which Poxvirus proteins cluster together. The phylo split is what separates a useful generalisation result from a memorisation artefact.</w:t>
      </w:r>
    </w:p>
    <w:p>
      <w:pPr>
        <w:pStyle w:val="Heading2"/>
      </w:pPr>
      <w:r>
        <w:t xml:space="preserve">8.4 Engineering constraints</w:t>
      </w:r>
    </w:p>
    <w:p>
      <w:pPr>
        <w:spacing w:after="160"/>
      </w:pPr>
      <w:r>
        <w:rPr>
          <w:sz w:val="24"/>
          <w:szCs w:val="24"/>
        </w:rPr>
        <w:t xml:space="preserve">Several engineering constraints were encountered and resolved during training:</w:t>
      </w:r>
    </w:p>
    <w:p>
      <w:pPr>
        <w:pStyle w:val="ListParagraph"/>
        <w:numPr>
          <w:ilvl w:val="0"/>
          <w:numId w:val="2"/>
        </w:numPr>
        <w:spacing w:after="100"/>
      </w:pPr>
      <w:r>
        <w:rPr>
          <w:sz w:val="24"/>
          <w:szCs w:val="24"/>
        </w:rPr>
        <w:t xml:space="preserve">Memory cliff on Apple MPS (16GB unified memory): proteins with many residues create large graphs. A single batch could reach ~17,000 residues, producing ~269,000 edges and several gigabytes of intermediate activations. Fixed by capping residues per batch (--max-residues 4000).</w:t>
      </w:r>
    </w:p>
    <w:p>
      <w:pPr>
        <w:pStyle w:val="ListParagraph"/>
        <w:numPr>
          <w:ilvl w:val="0"/>
          <w:numId w:val="2"/>
        </w:numPr>
        <w:spacing w:after="100"/>
      </w:pPr>
      <w:r>
        <w:rPr>
          <w:sz w:val="24"/>
          <w:szCs w:val="24"/>
        </w:rPr>
        <w:t xml:space="preserve">MPS kernel recompilation: each unique tensor shape triggers a new Metal shader compilation (~34 seconds). Fixed by bucket-padding all tensors to multiples of 1024 nodes / 256 edges / 8 SSEs, bounding the number of unique shapes to ~3–5.</w:t>
      </w:r>
    </w:p>
    <w:p>
      <w:pPr>
        <w:pStyle w:val="ListParagraph"/>
        <w:numPr>
          <w:ilvl w:val="0"/>
          <w:numId w:val="2"/>
        </w:numPr>
        <w:spacing w:after="100"/>
      </w:pPr>
      <w:r>
        <w:rPr>
          <w:sz w:val="24"/>
          <w:szCs w:val="24"/>
        </w:rPr>
        <w:t xml:space="preserve">Step time creep: Metal’s compiled shader cache accumulates internal state that is not cleared by empty_cache(). Step time drifts from ~1.7s to ~4.9s over 30 epochs. Mitigated by cold-restarting from checkpoint every 20–25 epochs.</w:t>
      </w:r>
    </w:p>
    <w:p>
      <w:pPr>
        <w:pStyle w:val="ListParagraph"/>
        <w:numPr>
          <w:ilvl w:val="0"/>
          <w:numId w:val="2"/>
        </w:numPr>
        <w:spacing w:after="100"/>
      </w:pPr>
      <w:r>
        <w:rPr>
          <w:sz w:val="24"/>
          <w:szCs w:val="24"/>
        </w:rPr>
        <w:t xml:space="preserve">Silent hard_neg_beta bug: the hard negative reweighting parameter was ignored on the supervised SupCon path because the dispatcher called a different function that had no beta parameter. Fixed by adding the parameter to supervised_ntxent_loss.</w:t>
      </w:r>
    </w:p>
    <w:p>
      <w:r>
        <w:br w:type="page"/>
      </w:r>
    </w:p>
    <w:p>
      <w:pPr>
        <w:pStyle w:val="Heading1"/>
      </w:pPr>
      <w:r>
        <w:t xml:space="preserve">9. Shortcuts: How the Model Can Cheat</w:t>
      </w:r>
    </w:p>
    <w:p>
      <w:pPr>
        <w:spacing w:after="160"/>
      </w:pPr>
      <w:r>
        <w:rPr>
          <w:sz w:val="24"/>
          <w:szCs w:val="24"/>
        </w:rPr>
        <w:t xml:space="preserve">A shortcut is a statistical regularity in the training data that correlates with the training objective but does not reflect the underlying property we want the model to learn. Contrastive models are especially vulnerable because the loss only cares about relative distances — not about whether those distances are computed from structurally meaningful features.</w:t>
      </w:r>
    </w:p>
    <w:p>
      <w:pPr>
        <w:spacing w:after="160"/>
      </w:pPr>
      <w:r>
        <w:rPr>
          <w:sz w:val="24"/>
          <w:szCs w:val="24"/>
        </w:rPr>
        <w:t xml:space="preserve">The shortcut analysis report identified 8 potential shortcuts. Here is the status of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Shortcut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Status after mitigations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Length proxy. Proteins in the same cluster tend to have similar lengths (TM-score normalises by length). The model can use |length_A − length_B| as a distance proxy.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Fixed. Spearman(ρ embedding, Δlength) = 0.005 after hard negative sampling groups by length bucket.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Amino acid composition. Viral proteins from the same family share composition biases. With 3Di features, the model can cluster by composition rather than topology.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Fixed by removing residue features (--no-residue). Composition shift dropped from 0.358 to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3Di composition. Even without amino acid identity, the 3Di alphabet encodes secondary structure composition. An all-α protein has a very different 3Di distribution from an all-β protein.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Addressed by removing 3Di features (--no-3di) in geometry-only experiments. Currently, 3Di is included in the best-performing run.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Sequential attention. Attention maps correlate more with sequence distance |i−j| than with 3D distance. The model behaves like a 1D sequence 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Partially fixed. After removing positional encoding, seq correlation = 0.39, 3D correlation = 0.33. Sequence still marginally dominates. Geometric distance bias (Section 6.7) is the next intervention.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Taxonomic shortcut. Proteins from the same species are placed together regardless of structure.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Not active. Silhouette score by species is −0.80 (negative = embeddings NOT organised by species).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Representation collapse. All embeddings converge to the same point, making all distances zero.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Not active. Mean pairwise cosine ≈0.07, embedding std ≈0.08.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Random structure injection. Random decoy structures should fall outside the learned manifold.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Not active. Fraction of decoys inside real manifold = 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pLDDT artifact. Low-confidence regions have systematic fallback conformations that create spurious similarity.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Not yet addressed. Masking residues with pLDDT &lt; 70 is a planned intervention.</w:t>
            </w:r>
          </w:p>
        </w:tc>
      </w:tr>
    </w:tbl>
    <w:p>
      <w:pPr>
        <w:spacing w:after="80"/>
      </w:pPr>
      <w:r>
        <w:t xml:space="preserve"/>
      </w:r>
    </w:p>
    <w:p>
      <w:r>
        <w:br w:type="page"/>
      </w:r>
    </w:p>
    <w:p>
      <w:pPr>
        <w:pStyle w:val="Heading1"/>
      </w:pPr>
      <w:r>
        <w:t xml:space="preserve">10. Training Results</w:t>
      </w:r>
    </w:p>
    <w:p>
      <w:pPr>
        <w:pStyle w:val="Heading2"/>
      </w:pPr>
      <w:r>
        <w:t xml:space="preserve">10.1 The ARI metric</w:t>
      </w:r>
    </w:p>
    <w:p>
      <w:pPr>
        <w:spacing w:after="160"/>
      </w:pPr>
      <w:r>
        <w:rPr>
          <w:sz w:val="24"/>
          <w:szCs w:val="24"/>
        </w:rPr>
        <w:t xml:space="preserve">ARI (Adjusted Rand Index) measures the agreement between two partitions of the same set of objects. In Deltafold, it compares the partition produced by k-means on the learned embeddings with the partition defined by Foldseek cluster labels.</w:t>
      </w:r>
    </w:p>
    <w:p>
      <w:pPr>
        <w:spacing w:after="160"/>
      </w:pPr>
      <w:r>
        <w:rPr>
          <w:sz w:val="24"/>
          <w:szCs w:val="24"/>
        </w:rPr>
        <w:t xml:space="preserve">The basic idea: take the 101 proteins in the validation set that belong to multi-member Foldseek clusters. Run k-means (k=49, the number of clusters) on their 128-dimensional embeddings. Compare the resulting cluster assignments to the Foldseek labels.</w:t>
      </w:r>
    </w:p>
    <w:p>
      <w:pPr>
        <w:spacing w:after="160"/>
      </w:pPr>
      <w:r>
        <w:rPr>
          <w:sz w:val="24"/>
          <w:szCs w:val="24"/>
        </w:rPr>
        <w:t xml:space="preserve">A score of 0 means the two partitions agree no better than chance. A score of 1 means perfect agreement. The “Adjusted” part corrects for the fact that random partitions can have non-zero agreement by chance.</w:t>
      </w:r>
    </w:p>
    <w:p>
      <w:pPr>
        <w:spacing w:after="160"/>
      </w:pPr>
      <w:r>
        <w:rPr>
          <w:sz w:val="24"/>
          <w:szCs w:val="24"/>
        </w:rPr>
        <w:t xml:space="preserve">Biologically, ARI = 0.40 means: the model has learned to place proteins from the same Foldseek structural family close together in embedding space, and this generalises to viral families it never saw during training (because of the phylo split). This is real learning — the model has discovered something about the relationship between protein structure and fold family, not just memorised training examples.</w:t>
      </w:r>
    </w:p>
    <w:p>
      <w:pPr>
        <w:spacing w:after="160"/>
      </w:pPr>
      <w:r>
        <w:rPr>
          <w:sz w:val="24"/>
          <w:szCs w:val="24"/>
        </w:rPr>
        <w:t xml:space="preserve">What ARI does NOT tell you: whether the distances within and between clusters are proportional to TM-score. ARI is purely about partitions (same group / different group), not about the continuous geometry of the space.</w:t>
      </w:r>
    </w:p>
    <w:p>
      <w:pPr>
        <w:pStyle w:val="Heading2"/>
      </w:pPr>
      <w:r>
        <w:t xml:space="preserve">10.2 The ρ metric (Spearman rank correlation)</w:t>
      </w:r>
    </w:p>
    <w:p>
      <w:pPr>
        <w:spacing w:after="160"/>
      </w:pPr>
      <w:r>
        <w:rPr>
          <w:sz w:val="24"/>
          <w:szCs w:val="24"/>
        </w:rPr>
        <w:t xml:space="preserve">The Spearman rank correlation ρ between embedding distances and TM-scores tests something different: whether the model’s distances are monotonically related to structural similarity across the entire continuous range of TM-scores.</w:t>
      </w:r>
    </w:p>
    <w:p>
      <w:pPr>
        <w:spacing w:after="160"/>
      </w:pPr>
      <w:r>
        <w:rPr>
          <w:sz w:val="24"/>
          <w:szCs w:val="24"/>
        </w:rPr>
        <w:t xml:space="preserve">To compute it: randomly sample 30 proteins, run pairwise TM-align to get all 435 pairwise TM-scores, compute all 435 pairwise cosine distances from the embeddings, and compute the Spearman correlation between the two sets of 435 numbers. A ρ of −1.0 would mean perfect monotone ordering (closer in embedding space ⇒ more similar structurally). A ρ of 0 means no relationship.</w:t>
      </w:r>
    </w:p>
    <w:p>
      <w:pPr>
        <w:spacing w:after="160"/>
      </w:pPr>
      <w:r>
        <w:rPr>
          <w:sz w:val="24"/>
          <w:szCs w:val="24"/>
        </w:rPr>
        <w:t xml:space="preserve">Why Spearman and not Pearson? Pearson measures linear correlation. We do not require the relationship between cosine distance and TM-score to be linear — only that it is monotone (consistently ordered). Spearman computes correlation on ranks: does the protein with the 3rd highest TM-score also have approximately the 3rd lowest cosine distance? This is the right question for an embedding that is meant to be used for nearest-neighbour retrieval.</w:t>
      </w:r>
    </w:p>
    <w:p>
      <w:pPr>
        <w:spacing w:after="160"/>
      </w:pPr>
      <w:r>
        <w:rPr>
          <w:sz w:val="24"/>
          <w:szCs w:val="24"/>
        </w:rPr>
        <w:t xml:space="preserve">The current result: ρ = 0.003, p = 0.94. Not statistically different from zero. The model’s distances contain no monotone information about TM-score.</w:t>
      </w:r>
    </w:p>
    <w:p>
      <w:pPr>
        <w:pStyle w:val="Heading2"/>
      </w:pPr>
      <w:r>
        <w:t xml:space="preserve">10.3 ARI trajectory</w:t>
      </w:r>
    </w:p>
    <w:p>
      <w:pPr>
        <w:spacing w:after="160"/>
      </w:pPr>
      <w:r>
        <w:rPr>
          <w:sz w:val="24"/>
          <w:szCs w:val="24"/>
        </w:rPr>
        <w:t xml:space="preserve">The best training run (SupCon with hard negatives, phylo split, no positional encoding, 3Di kept)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Epoch</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ARI (5-seed average)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0.279</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0.324</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7</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0.357</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0.386</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20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0.392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26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0.406 (best)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31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0.383 (run ongoing, val loss still declining)</w:t>
            </w:r>
          </w:p>
        </w:tc>
      </w:tr>
    </w:tbl>
    <w:p>
      <w:pPr>
        <w:spacing w:after="80"/>
      </w:pPr>
      <w:r>
        <w:t xml:space="preserve"/>
      </w:r>
    </w:p>
    <w:p>
      <w:pPr>
        <w:spacing w:after="160"/>
      </w:pPr>
      <w:r>
        <w:rPr>
          <w:sz w:val="24"/>
          <w:szCs w:val="24"/>
        </w:rPr>
        <w:t xml:space="preserve">The validation loss was still declining at epoch 31 (1.97 → 1.16), suggesting the model had not yet converged. Further training is expected to raise ARI further. ρ will remain near zero regardless of how many more epochs are trained, for the reasons explained in Section 7.5.</w:t>
      </w:r>
    </w:p>
    <w:p>
      <w:r>
        <w:br w:type="page"/>
      </w:r>
    </w:p>
    <w:p>
      <w:pPr>
        <w:pStyle w:val="Heading1"/>
      </w:pPr>
      <w:r>
        <w:t xml:space="preserve">11. Downstream Analysis: Phase 3–5 Results</w:t>
      </w:r>
    </w:p>
    <w:p>
      <w:pPr>
        <w:spacing w:after="160"/>
      </w:pPr>
      <w:r>
        <w:rPr>
          <w:sz w:val="24"/>
          <w:szCs w:val="24"/>
        </w:rPr>
        <w:t xml:space="preserve">After training, the model’s embeddings were used for three phases of downstream analysis on the 3,647-protein downsampled dataset. All four decision-gate criteria were met and the pipeline was cleared to scale to the full 67,715-protein dataset.</w:t>
      </w:r>
    </w:p>
    <w:p>
      <w:pPr>
        <w:pStyle w:val="Heading2"/>
      </w:pPr>
      <w:r>
        <w:t xml:space="preserve">11.1 Phase 3: Unsupervised clustering with HDBSCAN</w:t>
      </w:r>
    </w:p>
    <w:p>
      <w:pPr>
        <w:spacing w:after="160"/>
      </w:pPr>
      <w:r>
        <w:rPr>
          <w:sz w:val="24"/>
          <w:szCs w:val="24"/>
        </w:rPr>
        <w:t xml:space="preserve">HDBSCAN (Hierarchical Density-Based Spatial Clustering of Applications with Noise) was run on the 3,647 × 3,647 precomputed cosine distance matrix.</w:t>
      </w:r>
    </w:p>
    <w:p>
      <w:pPr>
        <w:spacing w:after="160"/>
      </w:pPr>
      <w:r>
        <w:rPr>
          <w:sz w:val="24"/>
          <w:szCs w:val="24"/>
        </w:rPr>
        <w:t xml:space="preserve">To understand why HDBSCAN and not k-means: k-means requires you to specify the number of clusters in advance. For a viral proteome, we have no idea how many structural families exist. K-means also forces every protein into a cluster, even if it is genuinely unique with no structural relatives. HDBSCAN requires no pre-specified cluster count and naturally assigns structurally isolated proteins as singletons (“noise points” in the algorithm’s terminology).</w:t>
      </w:r>
    </w:p>
    <w:p>
      <w:pPr>
        <w:spacing w:after="160"/>
      </w:pPr>
      <w:r>
        <w:rPr>
          <w:sz w:val="24"/>
          <w:szCs w:val="24"/>
        </w:rPr>
        <w:t xml:space="preserve">HDBSCAN works by finding regions of high density in the embedding space. Proteins that are tightly clustered together form a cluster; proteins that are isolated in low-density regions are assigned as singletons. The algorithm builds a hierarchy of clusters at different density thresholds and selects the most stable ones.</w:t>
      </w:r>
    </w:p>
    <w:p>
      <w:pPr>
        <w:spacing w:after="160"/>
      </w:pPr>
      <w:r>
        <w:rPr>
          <w:sz w:val="24"/>
          <w:szCs w:val="24"/>
        </w:rPr>
        <w:t xml:space="preserve">This is biologically appropriate: the viral proteome contains a mix of widely-distributed folds (like the jellyroll capsid, shared across hundreds of viruses) and truly unique proteins with no known structural relatives. K-means would force these unique proteins into arbitrary clusters; HDBSCAN leaves them as singletons.</w:t>
      </w:r>
    </w:p>
    <w:p>
      <w:pPr>
        <w:spacing w:after="160"/>
      </w:pPr>
      <w:r>
        <w:rPr>
          <w:sz w:val="24"/>
          <w:szCs w:val="24"/>
        </w:rPr>
        <w:t xml:space="preserve">Results on the downsampled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Metric</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Value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Total proteins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3,647</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Multi-member clusters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922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Singletons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1,087 (29.8%)</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Proteins in multi-member clusters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2,560 (70.2%)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Cluster size (min / median / max)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2 / 2 / 13</w:t>
            </w:r>
          </w:p>
        </w:tc>
      </w:tr>
    </w:tbl>
    <w:p>
      <w:pPr>
        <w:spacing w:after="80"/>
      </w:pPr>
      <w:r>
        <w:t xml:space="preserve"/>
      </w:r>
    </w:p>
    <w:p>
      <w:pPr>
        <w:spacing w:after="160"/>
      </w:pPr>
      <w:r>
        <w:rPr>
          <w:sz w:val="24"/>
          <w:szCs w:val="24"/>
        </w:rPr>
        <w:t xml:space="preserve">Note: the observed 29.8% singleton rate is lower than the Nomburg reference of ~66% structural dark matter. This is expected — the downsampled set over-represents large dsDNA viruses (Poxviridae, Herpesviridae, etc.) which have denser known structural relationships. The singleton rate will rise toward the reference as the dataset is expanded to the full 67k.</w:t>
      </w:r>
    </w:p>
    <w:p>
      <w:pPr>
        <w:pStyle w:val="Heading2"/>
      </w:pPr>
      <w:r>
        <w:t xml:space="preserve">11.2 Comparison with Foldseek: ARI, NMI, merge and split events</w:t>
      </w:r>
    </w:p>
    <w:p>
      <w:pPr>
        <w:spacing w:after="160"/>
      </w:pPr>
      <w:r>
        <w:rPr>
          <w:sz w:val="24"/>
          <w:szCs w:val="24"/>
        </w:rPr>
        <w:t xml:space="preserve">To validate the model’s clusters against the Foldseek reference partition, two metrics were computed: ARI and NMI (Normalised Mutual Information).</w:t>
      </w:r>
    </w:p>
    <w:p>
      <w:pPr>
        <w:spacing w:after="160"/>
      </w:pPr>
      <w:r>
        <w:rPr>
          <w:sz w:val="24"/>
          <w:szCs w:val="24"/>
        </w:rPr>
        <w:t xml:space="preserve">NMI measures how much information the model partition contains about the Foldseek partition. It ranges from 0 (no shared information) to 1 (perfectly consistent). Unlike ARI, NMI is not penalised for having more clusters than the reference.</w:t>
      </w:r>
    </w:p>
    <w:p>
      <w:pPr>
        <w:spacing w:after="160"/>
      </w:pPr>
      <w:r>
        <w:rPr>
          <w:sz w:val="24"/>
          <w:szCs w:val="24"/>
        </w:rPr>
        <w:t xml:space="preserve">On the 2,374 proteins that are multi-member in both the model and Foldseek partitions: ARI = 0.27, NMI = 0.93.</w:t>
      </w:r>
    </w:p>
    <w:p>
      <w:pPr>
        <w:spacing w:after="160"/>
      </w:pPr>
      <w:r>
        <w:rPr>
          <w:sz w:val="24"/>
          <w:szCs w:val="24"/>
        </w:rPr>
        <w:t xml:space="preserve">The interpretation of this combination is important. High NMI (0.93) means the model’s space organises proteins in a way that is highly informative about Foldseek clusters: knowing a protein’s model cluster tells you a great deal about its Foldseek cluster. Moderate ARI (0.27) means the boundaries between clusters do not perfectly coincide. The model tends to split Foldseek clusters into multiple finer-grained groups — it has found sub-structure within structural families that Foldseek’s binary threshold collapsed.</w:t>
      </w:r>
    </w:p>
    <w:p>
      <w:pPr>
        <w:spacing w:after="160"/>
      </w:pPr>
      <w:r>
        <w:rPr>
          <w:sz w:val="24"/>
          <w:szCs w:val="24"/>
        </w:rPr>
        <w:t xml:space="preserve">Merge and split events:</w:t>
      </w:r>
    </w:p>
    <w:p>
      <w:pPr>
        <w:pStyle w:val="ListParagraph"/>
        <w:numPr>
          <w:ilvl w:val="0"/>
          <w:numId w:val="2"/>
        </w:numPr>
        <w:spacing w:after="100"/>
      </w:pPr>
      <w:r>
        <w:rPr>
          <w:sz w:val="24"/>
          <w:szCs w:val="24"/>
        </w:rPr>
        <w:t xml:space="preserve">610 merge events: model clusters that contain proteins from two or more distinct Foldseek clusters, spanning up to 6 viral families. These are candidate discoveries — structural relationships that Foldseek’s threshold cut.</w:t>
      </w:r>
    </w:p>
    <w:p>
      <w:pPr>
        <w:pStyle w:val="ListParagraph"/>
        <w:numPr>
          <w:ilvl w:val="0"/>
          <w:numId w:val="2"/>
        </w:numPr>
        <w:spacing w:after="100"/>
      </w:pPr>
      <w:r>
        <w:rPr>
          <w:sz w:val="24"/>
          <w:szCs w:val="24"/>
        </w:rPr>
        <w:t xml:space="preserve">439 split events: Foldseek clusters that the model distributes across multiple sub-groups. The most striking: Herpesvirus UL43 (outer tegument protein), a Foldseek cluster of 21 members, is distributed by the model across 7 distinct groups — a possible structural sub-family hidden under the Foldseek threshold.</w:t>
      </w:r>
    </w:p>
    <w:p>
      <w:pPr>
        <w:pStyle w:val="Heading2"/>
      </w:pPr>
      <w:r>
        <w:t xml:space="preserve">11.3 Biological validation: the I3L/SSB case</w:t>
      </w:r>
    </w:p>
    <w:p>
      <w:pPr>
        <w:spacing w:after="160"/>
      </w:pPr>
      <w:r>
        <w:rPr>
          <w:sz w:val="24"/>
          <w:szCs w:val="24"/>
        </w:rPr>
        <w:t xml:space="preserve">The Nomburg paper identified three specific structural homology test cases that the clustering pipeline should recover. Only one was present in the downsampled set: the I3L/SSB (OB-fold ssDNA-binding protein) case.</w:t>
      </w:r>
    </w:p>
    <w:p>
      <w:pPr>
        <w:spacing w:after="160"/>
      </w:pPr>
      <w:r>
        <w:rPr>
          <w:sz w:val="24"/>
          <w:szCs w:val="24"/>
        </w:rPr>
        <w:t xml:space="preserve">Background: the Poxvirus I3L protein and the Baculovirus SSB protein both contain an OB-fold (oligonucleotide-binding fold) and both bind single-stranded DNA. This structural relationship was discovered by Nomburg et al. using Foldseek. Crucially, Foldseek places them in different clusters. This is the benchmark: can the continuous embedding recover a structural relationship that binary clustering missed?</w:t>
      </w:r>
    </w:p>
    <w:p>
      <w:pPr>
        <w:spacing w:after="160"/>
      </w:pPr>
      <w:r>
        <w:rPr>
          <w:sz w:val="24"/>
          <w:szCs w:val="24"/>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Metric</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Value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Cosine distance between I3L and SSB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0.236</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Model band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CLOSE (&lt; 0.45 threshold)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Foldseek cluster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DIFFERENT</w:t>
            </w:r>
          </w:p>
        </w:tc>
      </w:tr>
    </w:tbl>
    <w:p>
      <w:pPr>
        <w:spacing w:after="80"/>
      </w:pPr>
      <w:r>
        <w:t xml:space="preserve"/>
      </w:r>
    </w:p>
    <w:p>
      <w:pPr>
        <w:spacing w:after="160"/>
      </w:pPr>
      <w:r>
        <w:rPr>
          <w:sz w:val="24"/>
          <w:szCs w:val="24"/>
        </w:rPr>
        <w:t xml:space="preserve">The model places these two proteins in the structurally close band despite Foldseek treating them as unrelated. This is a genuine recovery of a cross-family structural homology that binary clustering missed.</w:t>
      </w:r>
    </w:p>
    <w:p>
      <w:pPr>
        <w:spacing w:after="160"/>
      </w:pPr>
      <w:r>
        <w:rPr>
          <w:sz w:val="24"/>
          <w:szCs w:val="24"/>
        </w:rPr>
        <w:t xml:space="preserve">5 additional substitute validation pairs (proteins from different Foldseek clusters with TM-score ≥ 0.5 in the cache) were also tested: 3 of 5 were placed in the close band. The 2 failures (TM-score 0.7–0.8 but cosine distance 0.75–0.85) represent cases where the model has not yet pushed the metric far enough for hard structural cases.</w:t>
      </w:r>
    </w:p>
    <w:p>
      <w:pPr>
        <w:spacing w:after="160"/>
      </w:pPr>
      <w:r>
        <w:rPr>
          <w:sz w:val="24"/>
          <w:szCs w:val="24"/>
        </w:rPr>
        <w:t xml:space="preserve">Nearest-neighbour analysis for I3L (Poxviridae): the 5 closest proteins in embedding space are from Asfarviridae, Phycodnaviridae, Baculoviridae (SSB is rank 3), Mimiviridae, and Marseilleviridae. All are dsDNA families. The top hit (Asfarviridae E165R, African swine fever virus) is a known OB-fold protein, making this neighbourhood biologically coherent.</w:t>
      </w:r>
    </w:p>
    <w:p>
      <w:pPr>
        <w:pStyle w:val="Heading2"/>
      </w:pPr>
      <w:r>
        <w:t xml:space="preserve">11.4 Phase 5: UMAP and cross-genome bridge clusters</w:t>
      </w:r>
    </w:p>
    <w:p>
      <w:pPr>
        <w:pStyle w:val="Heading3"/>
      </w:pPr>
      <w:r>
        <w:t xml:space="preserve">UMAP visualisation</w:t>
      </w:r>
    </w:p>
    <w:p>
      <w:pPr>
        <w:spacing w:after="160"/>
      </w:pPr>
      <w:r>
        <w:rPr>
          <w:sz w:val="24"/>
          <w:szCs w:val="24"/>
        </w:rPr>
        <w:t xml:space="preserve">UMAP (Uniform Manifold Approximation and Projection) is a dimensionality reduction algorithm that projects the 128-dimensional embeddings to 2D for visualisation. Unlike PCA, which finds the global directions of maximum variance and projects linearly, UMAP preserves local structure: proteins that are close together in 128D tend to remain close in 2D, but the global layout (distances between clusters) is distorted.</w:t>
      </w:r>
    </w:p>
    <w:p>
      <w:pPr>
        <w:spacing w:after="160"/>
      </w:pPr>
      <w:r>
        <w:rPr>
          <w:sz w:val="24"/>
          <w:szCs w:val="24"/>
        </w:rPr>
        <w:t xml:space="preserve">The analogy: imagine crumpling a sheet of paper into a ball and then carefully unfolding it. Nearby points on the original sheet remain nearby, but distant points may end up arbitrarily rearranged. UMAP does something similar in high dimensions. The two key hyperparameters are n_neighbors (how many nearby points define “local”) and min_dist (how tightly packed clusters can be).</w:t>
      </w:r>
    </w:p>
    <w:p>
      <w:pPr>
        <w:spacing w:after="160"/>
      </w:pPr>
      <w:r>
        <w:rPr>
          <w:sz w:val="24"/>
          <w:szCs w:val="24"/>
        </w:rPr>
        <w:t xml:space="preserve">What the UMAP projection can and cannot tell you: clusters that appear visually distinct in the 2D projection are likely genuinely distinct in 128D (local structure is preserved). Clusters that appear merged in 2D may or may not be merged in 128D. The absolute distances between clusters in 2D are not meaningful.</w:t>
      </w:r>
    </w:p>
    <w:p>
      <w:pPr>
        <w:spacing w:after="160"/>
      </w:pPr>
      <w:r>
        <w:rPr>
          <w:sz w:val="24"/>
          <w:szCs w:val="24"/>
        </w:rPr>
        <w:t xml:space="preserve">Quantitative validation: within-cluster spread / global radius = 0.054. Same-cluster proteins occupy regions roughly 18× tighter than the overall point cloud. This confirms the visible cluster structure is real, not a UMAP artefact.</w:t>
      </w:r>
    </w:p>
    <w:p>
      <w:pPr>
        <w:pStyle w:val="Heading3"/>
      </w:pPr>
      <w:r>
        <w:t xml:space="preserve">Cross-genome bridge clusters</w:t>
      </w:r>
    </w:p>
    <w:p>
      <w:pPr>
        <w:spacing w:after="160"/>
      </w:pPr>
      <w:r>
        <w:rPr>
          <w:sz w:val="24"/>
          <w:szCs w:val="24"/>
        </w:rPr>
        <w:t xml:space="preserve">213 of the 922 multi-member model clusters (23%) span proteins from two or more genome types (dsDNA, ssRNA(+), ssDNA, etc.). These are the most scientifically interesting result: structural folds conserved across major divisions of virus evolution.</w:t>
      </w:r>
    </w:p>
    <w:p>
      <w:pPr>
        <w:spacing w:after="160"/>
      </w:pPr>
      <w:r>
        <w:rPr>
          <w:sz w:val="24"/>
          <w:szCs w:val="24"/>
        </w:rPr>
        <w:t xml:space="preserve">Three examples:</w:t>
      </w:r>
    </w:p>
    <w:p>
      <w:pPr>
        <w:pStyle w:val="ListParagraph"/>
        <w:numPr>
          <w:ilvl w:val="0"/>
          <w:numId w:val="2"/>
        </w:numPr>
        <w:spacing w:after="100"/>
      </w:pPr>
      <w:r>
        <w:rPr>
          <w:sz w:val="24"/>
          <w:szCs w:val="24"/>
        </w:rPr>
        <w:t xml:space="preserve">Cluster #255 (13 members, dsDNA + ssRNA(+), 6 families including Secoviridae and Poxviridae): a Secoviridae +ssRNA large coat protein grouped with hypothetical proteins from five large dsDNA families. The jelly-roll β-barrel capsid fold is the canonical example of a fold predating the RNA/DNA split, and this cluster is a strong candidate.</w:t>
      </w:r>
    </w:p>
    <w:p>
      <w:pPr>
        <w:pStyle w:val="ListParagraph"/>
        <w:numPr>
          <w:ilvl w:val="0"/>
          <w:numId w:val="2"/>
        </w:numPr>
        <w:spacing w:after="100"/>
      </w:pPr>
      <w:r>
        <w:rPr>
          <w:sz w:val="24"/>
          <w:szCs w:val="24"/>
        </w:rPr>
        <w:t xml:space="preserve">Cluster #377 (10 members, dsDNA + ssRNA(+), 5 families including Betaflexiviridae and Herpesviridae): nucleic-acid-binding proteins from plant +ssRNA viruses alongside ssDNA-binding proteins from large dsDNA families.</w:t>
      </w:r>
    </w:p>
    <w:p>
      <w:pPr>
        <w:pStyle w:val="ListParagraph"/>
        <w:numPr>
          <w:ilvl w:val="0"/>
          <w:numId w:val="2"/>
        </w:numPr>
        <w:spacing w:after="100"/>
      </w:pPr>
      <w:r>
        <w:rPr>
          <w:sz w:val="24"/>
          <w:szCs w:val="24"/>
        </w:rPr>
        <w:t xml:space="preserve">Cluster #199 (9 members, dsDNA + ssDNA, 6 families including Parvoviridae and Herpesviridae): bridges large and small DNA viruses, invisible to sequence methods.</w:t>
      </w:r>
    </w:p>
    <w:p>
      <w:pPr>
        <w:spacing w:after="80"/>
      </w:pPr>
      <w:r>
        <w:t xml:space="preserve"/>
      </w:r>
    </w:p>
    <w:p>
      <w:pPr>
        <w:spacing w:after="160"/>
      </w:pPr>
      <w:r>
        <w:rPr>
          <w:sz w:val="24"/>
          <w:szCs w:val="24"/>
        </w:rPr>
        <w:t xml:space="preserve">The pipeline ran on 3,647 proteins in 42 seconds.</w:t>
      </w:r>
    </w:p>
    <w:p>
      <w:r>
        <w:br w:type="page"/>
      </w:r>
    </w:p>
    <w:p>
      <w:pPr>
        <w:pStyle w:val="Heading1"/>
      </w:pPr>
      <w:r>
        <w:t xml:space="preserve">12. Why ρ Stays Near Zero: Root Cause Analysis</w:t>
      </w:r>
    </w:p>
    <w:p>
      <w:pPr>
        <w:spacing w:after="160"/>
      </w:pPr>
      <w:r>
        <w:rPr>
          <w:sz w:val="24"/>
          <w:szCs w:val="24"/>
        </w:rPr>
        <w:t xml:space="preserve">The TM-score analysis report identifies three independent root causes of ρ ≈ 0. All three must be addressed simultaneously — fixing only one is insufficient.</w:t>
      </w:r>
    </w:p>
    <w:p>
      <w:pPr>
        <w:pStyle w:val="Heading2"/>
      </w:pPr>
      <w:r>
        <w:t xml:space="preserve">12.1 Cause A: objective mismatch (the binary ceiling)</w:t>
      </w:r>
    </w:p>
    <w:p>
      <w:pPr>
        <w:spacing w:after="160"/>
      </w:pPr>
      <w:r>
        <w:rPr>
          <w:sz w:val="24"/>
          <w:szCs w:val="24"/>
        </w:rPr>
        <w:t xml:space="preserve">As explained in Section 7.5: SupCon is a binary classifier over cluster membership. Its optimal solution produces step-function distances (0 inside clusters, 1 across clusters), which have Spearman ρ = 0 with any continuous metric. This is mathematical, not empirical. No amount of training on the current objective can move ρ.</w:t>
      </w:r>
    </w:p>
    <w:p>
      <w:pPr>
        <w:pStyle w:val="Heading2"/>
      </w:pPr>
      <w:r>
        <w:t xml:space="preserve">12.2 Cause B: mean pooling destroys metric geometry</w:t>
      </w:r>
    </w:p>
    <w:p>
      <w:pPr>
        <w:spacing w:after="160"/>
      </w:pPr>
      <w:r>
        <w:rPr>
          <w:sz w:val="24"/>
          <w:szCs w:val="24"/>
        </w:rPr>
        <w:t xml:space="preserve">Mean pooling collapses the per-residue representation into an average. Two proteins with the same amino acid composition but different fold topology (e.g., an all-α protein and an all-β protein that happen to have similar average residue features) can have nearly identical mean-pooled embeddings. TM-score measures the spatial arrangement of Cα atoms, not average residue properties. A pooling operator that averages away the arrangement information cannot produce a TM-score-correlated metric.</w:t>
      </w:r>
    </w:p>
    <w:p>
      <w:pPr>
        <w:spacing w:after="160"/>
      </w:pPr>
      <w:r>
        <w:rPr>
          <w:sz w:val="24"/>
          <w:szCs w:val="24"/>
        </w:rPr>
        <w:t xml:space="preserve">The proposed fix: attention pooling. Instead of h_pool = (1/N)Σh_i, use a learned global query vector: w_i = softmax(MLP(h_i)), h_pool = Σ w_i · h_i. This allows the model to focus on structurally discriminative residues (active sites, domain interfaces, structural cores) rather than averaging over everything equally.</w:t>
      </w:r>
    </w:p>
    <w:p>
      <w:pPr>
        <w:pStyle w:val="Heading2"/>
      </w:pPr>
      <w:r>
        <w:t xml:space="preserve">12.3 Cause C: augmentations are TM-score-destructive</w:t>
      </w:r>
    </w:p>
    <w:p>
      <w:pPr>
        <w:spacing w:after="160"/>
      </w:pPr>
      <w:r>
        <w:rPr>
          <w:sz w:val="24"/>
          <w:szCs w:val="24"/>
        </w:rPr>
        <w:t xml:space="preserve">As explained in Section 8.1: SSE cropping creates positive pairs whose actual TM-score is ≈0.65. Training the model to treat these as identical teaches it to be invariant to exactly the structural differences TM-score is sensitive to. The model is learning the wrong invariance.</w:t>
      </w:r>
    </w:p>
    <w:p>
      <w:pPr>
        <w:pStyle w:val="Heading2"/>
      </w:pPr>
      <w:r>
        <w:t xml:space="preserve">12.4 What would fix it: the roadmap</w:t>
      </w:r>
    </w:p>
    <w:p>
      <w:pPr>
        <w:spacing w:after="160"/>
      </w:pPr>
      <w:r>
        <w:rPr>
          <w:sz w:val="24"/>
          <w:szCs w:val="24"/>
        </w:rPr>
        <w:t xml:space="preserve">In order of expected impact:</w:t>
      </w:r>
    </w:p>
    <w:p>
      <w:pPr>
        <w:pStyle w:val="ListParagraph"/>
        <w:numPr>
          <w:ilvl w:val="0"/>
          <w:numId w:val="2"/>
        </w:numPr>
        <w:spacing w:after="100"/>
      </w:pPr>
      <w:r>
        <w:rPr>
          <w:sz w:val="24"/>
          <w:szCs w:val="24"/>
        </w:rPr>
        <w:t xml:space="preserve">1. TM-score regression auxiliary loss. Already implemented (tm_score_aux_loss function in the codebase), but disabled because per-step TM-align costs ~0.5s/pair. The fix: pre-compute TM-scores for all within-cluster pairs (already available from Foldseek cluster construction) and cache them. The auxiliary loss then adds an MSE term: cos(z_i, z_j) should match 2×TM(i,j) − 1. This directly optimises ρ.</w:t>
      </w:r>
    </w:p>
    <w:p>
      <w:pPr>
        <w:pStyle w:val="ListParagraph"/>
        <w:numPr>
          <w:ilvl w:val="0"/>
          <w:numId w:val="2"/>
        </w:numPr>
        <w:spacing w:after="100"/>
      </w:pPr>
      <w:r>
        <w:rPr>
          <w:sz w:val="24"/>
          <w:szCs w:val="24"/>
        </w:rPr>
        <w:t xml:space="preserve">2. Replace SSE cropping with jitter-only augmentation. Jitter has negligible TM-score effect and models real prediction noise. SSE cropping models evolutionary events that change TM-score. Remove it.</w:t>
      </w:r>
    </w:p>
    <w:p>
      <w:pPr>
        <w:pStyle w:val="ListParagraph"/>
        <w:numPr>
          <w:ilvl w:val="0"/>
          <w:numId w:val="2"/>
        </w:numPr>
        <w:spacing w:after="100"/>
      </w:pPr>
      <w:r>
        <w:rPr>
          <w:sz w:val="24"/>
          <w:szCs w:val="24"/>
        </w:rPr>
        <w:t xml:space="preserve">3. Replace mean pooling with attention pooling. See Section 12.2.</w:t>
      </w:r>
    </w:p>
    <w:p>
      <w:pPr>
        <w:pStyle w:val="ListParagraph"/>
        <w:numPr>
          <w:ilvl w:val="0"/>
          <w:numId w:val="2"/>
        </w:numPr>
        <w:spacing w:after="100"/>
      </w:pPr>
      <w:r>
        <w:rPr>
          <w:sz w:val="24"/>
          <w:szCs w:val="24"/>
        </w:rPr>
        <w:t xml:space="preserve">4. Activate geometric distance bias (γ &gt; 0). Already implemented. Turn on dist_bias_gamma in the training entrypoint.</w:t>
      </w:r>
    </w:p>
    <w:p>
      <w:pPr>
        <w:pStyle w:val="ListParagraph"/>
        <w:numPr>
          <w:ilvl w:val="0"/>
          <w:numId w:val="2"/>
        </w:numPr>
        <w:spacing w:after="100"/>
      </w:pPr>
      <w:r>
        <w:rPr>
          <w:sz w:val="24"/>
          <w:szCs w:val="24"/>
        </w:rPr>
        <w:t xml:space="preserve">5. Activate detach_h3. Already implemented. Turn on in the training entrypoint.</w:t>
      </w:r>
    </w:p>
    <w:p>
      <w:pPr>
        <w:pStyle w:val="ListParagraph"/>
        <w:numPr>
          <w:ilvl w:val="0"/>
          <w:numId w:val="2"/>
        </w:numPr>
        <w:spacing w:after="100"/>
      </w:pPr>
      <w:r>
        <w:rPr>
          <w:sz w:val="24"/>
          <w:szCs w:val="24"/>
        </w:rPr>
        <w:t xml:space="preserve">6. Scale to the full 67k-protein dataset. 3,076 training proteins with 49 clusters is a small dataset. More fold diversity means more within-cluster TM-score variation visible per batch, giving the regression auxiliary loss more signal.</w:t>
      </w:r>
    </w:p>
    <w:p>
      <w:pPr>
        <w:pStyle w:val="ListParagraph"/>
        <w:numPr>
          <w:ilvl w:val="0"/>
          <w:numId w:val="2"/>
        </w:numPr>
        <w:spacing w:after="100"/>
      </w:pPr>
      <w:r>
        <w:rPr>
          <w:sz w:val="24"/>
          <w:szCs w:val="24"/>
        </w:rPr>
        <w:t xml:space="preserve">7. Replace SupCon with a continuous contrastive loss. Instead of binary same-cluster / different-cluster, weight positive pairs by their actual TM-score. Pairs with TM=0.9 are weighted more strongly than pairs with TM=0.45. This requires pre-computed TM-scores for all cluster pairs.</w:t>
      </w:r>
    </w:p>
    <w:p>
      <w:r>
        <w:br w:type="page"/>
      </w:r>
    </w:p>
    <w:p>
      <w:pPr>
        <w:pStyle w:val="Heading1"/>
      </w:pPr>
      <w:r>
        <w:t xml:space="preserve">13. Summary</w:t>
      </w:r>
    </w:p>
    <w:p>
      <w:pPr>
        <w:spacing w:after="160"/>
      </w:pPr>
      <w:r>
        <w:rPr>
          <w:sz w:val="24"/>
          <w:szCs w:val="24"/>
        </w:rPr>
        <w:t xml:space="preserve">The Deltafold project is training an AsymmetricTopoNet — a topological deep learning model that represents viral proteins as multi-rank combinatorial complexes — using supervised contrastive learning on 67,715 ColabFold-predicted structures from the Nomburg et al. (2024) dataset. The goal is a continuous structural embedding where cosine distance is monotonically related to TM-score.</w:t>
      </w:r>
    </w:p>
    <w:p>
      <w:pPr>
        <w:spacing w:after="160"/>
      </w:pPr>
      <w:r>
        <w:rPr>
          <w:sz w:val="24"/>
          <w:szCs w:val="24"/>
        </w:rPr>
        <w:t xml:space="preserve">The current model (epoch 26, downsampled 3,647-protein set) achieves ARI = 0.41 on held-out viral families — real, generalisable learning of fold-family structure. It achieves ρ = 0.003, indistinguishable from zero, because SupCon is a binary objective and cannot optimise a continuous metric.</w:t>
      </w:r>
    </w:p>
    <w:p>
      <w:pPr>
        <w:spacing w:after="160"/>
      </w:pPr>
      <w:r>
        <w:rPr>
          <w:sz w:val="24"/>
          <w:szCs w:val="24"/>
        </w:rPr>
        <w:t xml:space="preserve">The downstream analysis confirms that the embedding space is biologically meaningful: the I3L/SSB cross-family structural homology is recovered despite Foldseek missing it, 23% of model clusters bridge different genome types, and the UMAP shows strongly non-random structure. The pipeline is cleared to scale to the full 67k dataset.</w:t>
      </w:r>
    </w:p>
    <w:p>
      <w:pPr>
        <w:spacing w:after="160"/>
      </w:pPr>
      <w:r>
        <w:rPr>
          <w:sz w:val="24"/>
          <w:szCs w:val="24"/>
        </w:rPr>
        <w:t xml:space="preserve">The path to ρ &gt; 0 requires three simultaneous changes: a continuous training signal (TM-score regression auxiliary loss), jitter-only augmentations (removing SSE cropping), and attention pooling (replacing mean pooling). All three are already implemented in the codebase and require only configuration changes to activate.</w:t>
      </w:r>
    </w:p>
    <w:p>
      <w:pPr>
        <w:pBdr>
          <w:bottom w:val="single" w:color="2E75B6" w:sz="6" w:space="1"/>
        </w:pBdr>
        <w:spacing w:after="120"/>
      </w:pPr>
      <w:r>
        <w:t xml:space="preserve"/>
      </w:r>
    </w:p>
    <w:p>
      <w:pPr>
        <w:spacing w:before="200"/>
        <w:jc w:val="center"/>
      </w:pPr>
      <w:r>
        <w:rPr>
          <w:color w:val="88888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color w:val="666666"/>
        <w:sz w:val="18"/>
        <w:szCs w:val="18"/>
      </w:rPr>
      <w:t xml:space="preserve">Deltafold — Technical Reading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2026-06-05T12:23:32.961Z</dcterms:created>
  <dcterms:modified xsi:type="dcterms:W3CDTF">2026-06-05T12:23:32.961Z</dcterms:modified>
</cp:coreProperties>
</file>

<file path=docProps/custom.xml><?xml version="1.0" encoding="utf-8"?>
<Properties xmlns="http://schemas.openxmlformats.org/officeDocument/2006/custom-properties" xmlns:vt="http://schemas.openxmlformats.org/officeDocument/2006/docPropsVTypes"/>
</file>