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r>
        <w:t xml:space="preserve"/>
      </w:r>
    </w:p>
    <w:p>
      <w:pPr>
        <w:spacing w:after="80"/>
        <w:jc w:val="center"/>
      </w:pPr>
      <w:r>
        <w:rPr>
          <w:rFonts w:ascii="Arial" w:cs="Arial" w:eastAsia="Arial" w:hAnsi="Arial"/>
          <w:b/>
          <w:bCs/>
          <w:color w:val="1A1A2E"/>
          <w:sz w:val="72"/>
          <w:szCs w:val="72"/>
        </w:rPr>
        <w:t xml:space="preserve">WAVCASH</w:t>
      </w:r>
    </w:p>
    <w:p>
      <w:pPr>
        <w:spacing w:after="80"/>
        <w:jc w:val="center"/>
      </w:pPr>
      <w:r>
        <w:rPr>
          <w:rFonts w:ascii="Arial" w:cs="Arial" w:eastAsia="Arial" w:hAnsi="Arial"/>
          <w:color w:val="6B7280"/>
          <w:sz w:val="32"/>
          <w:szCs w:val="32"/>
        </w:rPr>
        <w:t xml:space="preserve">Product Specification Document</w:t>
      </w:r>
    </w:p>
    <w:p>
      <w:pPr>
        <w:spacing w:after="480"/>
        <w:jc w:val="center"/>
      </w:pPr>
      <w:r>
        <w:rPr>
          <w:rFonts w:ascii="Arial" w:cs="Arial" w:eastAsia="Arial" w:hAnsi="Arial"/>
          <w:i/>
          <w:iCs/>
          <w:color w:val="6B7280"/>
          <w:sz w:val="24"/>
          <w:szCs w:val="24"/>
        </w:rPr>
        <w:t xml:space="preserve">Version 2.0  ·  MVP + Full Roadmap</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shd w:fill="EEF2FF" w:val="clear"/>
            <w:tcMar>
              <w:top w:type="dxa" w:w="240"/>
              <w:left w:type="dxa" w:w="360"/>
              <w:bottom w:type="dxa" w:w="240"/>
              <w:right w:type="dxa" w:w="360"/>
            </w:tcMar>
          </w:tcPr>
          <w:p>
            <w:pPr>
              <w:spacing w:after="0"/>
              <w:jc w:val="center"/>
            </w:pPr>
            <w:r>
              <w:rPr>
                <w:rFonts w:ascii="Arial" w:cs="Arial" w:eastAsia="Arial" w:hAnsi="Arial"/>
                <w:i/>
                <w:iCs/>
                <w:color w:val="4F46E5"/>
                <w:sz w:val="26"/>
                <w:szCs w:val="26"/>
              </w:rPr>
              <w:t xml:space="preserve">"Your music. Your money. Finally."</w:t>
            </w:r>
          </w:p>
        </w:tc>
      </w:tr>
    </w:tbl>
    <w:p>
      <w:pPr>
        <w:spacing w:before="0" w:after="480"/>
      </w:pPr>
      <w:r>
        <w:t xml:space="preserve"/>
      </w:r>
    </w:p>
    <w:p>
      <w:pPr>
        <w:jc w:val="center"/>
      </w:pPr>
      <w:r>
        <w:rPr>
          <w:rFonts w:ascii="Arial" w:cs="Arial" w:eastAsia="Arial" w:hAnsi="Arial"/>
          <w:i/>
          <w:iCs/>
          <w:color w:val="6B7280"/>
          <w:sz w:val="22"/>
          <w:szCs w:val="22"/>
        </w:rPr>
        <w:t xml:space="preserve">Royalty Intelligence &amp; Payment Infrastructure for Music Rights Holders in Africa and Latin America</w:t>
      </w:r>
    </w:p>
    <w:p>
      <w:r>
        <w:br w:type="page"/>
      </w:r>
    </w:p>
    <w:p>
      <w:pPr>
        <w:pStyle w:val="Heading1"/>
        <w:pBdr>
          <w:bottom w:val="single" w:color="4F46E5" w:sz="4" w:space="6"/>
        </w:pBdr>
        <w:spacing w:before="480" w:after="200"/>
      </w:pPr>
      <w:r>
        <w:rPr>
          <w:rFonts w:ascii="Arial" w:cs="Arial" w:eastAsia="Arial" w:hAnsi="Arial"/>
          <w:b/>
          <w:bCs/>
          <w:color w:val="1A1A2E"/>
          <w:sz w:val="36"/>
          <w:szCs w:val="36"/>
        </w:rPr>
        <w:t xml:space="preserve">Table of Contents</w:t>
      </w:r>
    </w:p>
    <w:p>
      <w:pPr>
        <w:spacing w:before="0" w:after="140"/>
      </w:pPr>
      <w:r>
        <w:rPr>
          <w:rFonts w:ascii="Arial" w:cs="Arial" w:eastAsia="Arial" w:hAnsi="Arial"/>
          <w:color w:val="1A1A2E"/>
          <w:sz w:val="20"/>
          <w:szCs w:val="20"/>
        </w:rPr>
        <w:t xml:space="preserve">1. Product Overview &amp; Market Framing</w:t>
      </w:r>
    </w:p>
    <w:p>
      <w:pPr>
        <w:spacing w:before="0" w:after="140"/>
      </w:pPr>
      <w:r>
        <w:rPr>
          <w:rFonts w:ascii="Arial" w:cs="Arial" w:eastAsia="Arial" w:hAnsi="Arial"/>
          <w:color w:val="1A1A2E"/>
          <w:sz w:val="20"/>
          <w:szCs w:val="20"/>
        </w:rPr>
        <w:t xml:space="preserve">2. Core Architecture Principles</w:t>
      </w:r>
    </w:p>
    <w:p>
      <w:pPr>
        <w:spacing w:before="0" w:after="140"/>
      </w:pPr>
      <w:r>
        <w:rPr>
          <w:rFonts w:ascii="Arial" w:cs="Arial" w:eastAsia="Arial" w:hAnsi="Arial"/>
          <w:color w:val="1A1A2E"/>
          <w:sz w:val="20"/>
          <w:szCs w:val="20"/>
        </w:rPr>
        <w:t xml:space="preserve">3. Pricing &amp; Tier Structure</w:t>
      </w:r>
    </w:p>
    <w:p>
      <w:pPr>
        <w:spacing w:before="0" w:after="140"/>
      </w:pPr>
      <w:r>
        <w:rPr>
          <w:rFonts w:ascii="Arial" w:cs="Arial" w:eastAsia="Arial" w:hAnsi="Arial"/>
          <w:color w:val="1A1A2E"/>
          <w:sz w:val="20"/>
          <w:szCs w:val="20"/>
        </w:rPr>
        <w:t xml:space="preserve">4. MVP Feature Specifications</w:t>
      </w:r>
    </w:p>
    <w:p>
      <w:pPr>
        <w:spacing w:before="0" w:after="140"/>
      </w:pPr>
      <w:r>
        <w:rPr>
          <w:rFonts w:ascii="Arial" w:cs="Arial" w:eastAsia="Arial" w:hAnsi="Arial"/>
          <w:color w:val="1A1A2E"/>
          <w:sz w:val="20"/>
          <w:szCs w:val="20"/>
        </w:rPr>
        <w:t xml:space="preserve">   4.1  Royalty Sniffer (Public)</w:t>
      </w:r>
    </w:p>
    <w:p>
      <w:pPr>
        <w:spacing w:before="0" w:after="140"/>
      </w:pPr>
      <w:r>
        <w:rPr>
          <w:rFonts w:ascii="Arial" w:cs="Arial" w:eastAsia="Arial" w:hAnsi="Arial"/>
          <w:color w:val="1A1A2E"/>
          <w:sz w:val="20"/>
          <w:szCs w:val="20"/>
        </w:rPr>
        <w:t xml:space="preserve">   4.2  Artist Onboarding &amp; Catalog Setup</w:t>
      </w:r>
    </w:p>
    <w:p>
      <w:pPr>
        <w:spacing w:before="0" w:after="140"/>
      </w:pPr>
      <w:r>
        <w:rPr>
          <w:rFonts w:ascii="Arial" w:cs="Arial" w:eastAsia="Arial" w:hAnsi="Arial"/>
          <w:color w:val="1A1A2E"/>
          <w:sz w:val="20"/>
          <w:szCs w:val="20"/>
        </w:rPr>
        <w:t xml:space="preserve">   4.3  Royalty Dashboard — Oracle Layer</w:t>
      </w:r>
    </w:p>
    <w:p>
      <w:pPr>
        <w:spacing w:before="0" w:after="140"/>
      </w:pPr>
      <w:r>
        <w:rPr>
          <w:rFonts w:ascii="Arial" w:cs="Arial" w:eastAsia="Arial" w:hAnsi="Arial"/>
          <w:color w:val="1A1A2E"/>
          <w:sz w:val="20"/>
          <w:szCs w:val="20"/>
        </w:rPr>
        <w:t xml:space="preserve">   4.4  Royalty Dashboard — Actuals Layer</w:t>
      </w:r>
    </w:p>
    <w:p>
      <w:pPr>
        <w:spacing w:before="0" w:after="140"/>
      </w:pPr>
      <w:r>
        <w:rPr>
          <w:rFonts w:ascii="Arial" w:cs="Arial" w:eastAsia="Arial" w:hAnsi="Arial"/>
          <w:color w:val="1A1A2E"/>
          <w:sz w:val="20"/>
          <w:szCs w:val="20"/>
        </w:rPr>
        <w:t xml:space="preserve">   4.5  Reclaim — CMO Registration Guide</w:t>
      </w:r>
    </w:p>
    <w:p>
      <w:pPr>
        <w:spacing w:before="0" w:after="140"/>
      </w:pPr>
      <w:r>
        <w:rPr>
          <w:rFonts w:ascii="Arial" w:cs="Arial" w:eastAsia="Arial" w:hAnsi="Arial"/>
          <w:color w:val="1A1A2E"/>
          <w:sz w:val="20"/>
          <w:szCs w:val="20"/>
        </w:rPr>
        <w:t xml:space="preserve">   4.6  Splits by WavCash (Onchain, AVAX C-Chain)</w:t>
      </w:r>
    </w:p>
    <w:p>
      <w:pPr>
        <w:spacing w:before="0" w:after="140"/>
      </w:pPr>
      <w:r>
        <w:rPr>
          <w:rFonts w:ascii="Arial" w:cs="Arial" w:eastAsia="Arial" w:hAnsi="Arial"/>
          <w:color w:val="1A1A2E"/>
          <w:sz w:val="20"/>
          <w:szCs w:val="20"/>
        </w:rPr>
        <w:t xml:space="preserve">   4.7  Enterprise Multi-Seat Dashboard</w:t>
      </w:r>
    </w:p>
    <w:p>
      <w:pPr>
        <w:spacing w:before="0" w:after="140"/>
      </w:pPr>
      <w:r>
        <w:rPr>
          <w:rFonts w:ascii="Arial" w:cs="Arial" w:eastAsia="Arial" w:hAnsi="Arial"/>
          <w:color w:val="1A1A2E"/>
          <w:sz w:val="20"/>
          <w:szCs w:val="20"/>
        </w:rPr>
        <w:t xml:space="preserve">5. Technical Architecture</w:t>
      </w:r>
    </w:p>
    <w:p>
      <w:pPr>
        <w:spacing w:before="0" w:after="140"/>
      </w:pPr>
      <w:r>
        <w:rPr>
          <w:rFonts w:ascii="Arial" w:cs="Arial" w:eastAsia="Arial" w:hAnsi="Arial"/>
          <w:color w:val="1A1A2E"/>
          <w:sz w:val="20"/>
          <w:szCs w:val="20"/>
        </w:rPr>
        <w:t xml:space="preserve">6. Product Roadmap</w:t>
      </w:r>
    </w:p>
    <w:p>
      <w:r>
        <w:br w:type="page"/>
      </w:r>
    </w:p>
    <w:p>
      <w:pPr>
        <w:pStyle w:val="Heading1"/>
        <w:pBdr>
          <w:bottom w:val="single" w:color="4F46E5" w:sz="4" w:space="6"/>
        </w:pBdr>
        <w:spacing w:before="480" w:after="200"/>
      </w:pPr>
      <w:r>
        <w:rPr>
          <w:rFonts w:ascii="Arial" w:cs="Arial" w:eastAsia="Arial" w:hAnsi="Arial"/>
          <w:b/>
          <w:bCs/>
          <w:color w:val="1A1A2E"/>
          <w:sz w:val="36"/>
          <w:szCs w:val="36"/>
        </w:rPr>
        <w:t xml:space="preserve">1. Product Overview &amp; Market Framing</w:t>
      </w:r>
    </w:p>
    <w:p>
      <w:pPr>
        <w:pStyle w:val="Heading2"/>
        <w:spacing w:before="360" w:after="160"/>
      </w:pPr>
      <w:r>
        <w:rPr>
          <w:rFonts w:ascii="Arial" w:cs="Arial" w:eastAsia="Arial" w:hAnsi="Arial"/>
          <w:b/>
          <w:bCs/>
          <w:color w:val="1A1A2E"/>
          <w:sz w:val="28"/>
          <w:szCs w:val="28"/>
        </w:rPr>
        <w:t xml:space="preserve">1.1 What WavCash Is</w:t>
      </w:r>
    </w:p>
    <w:p>
      <w:pPr>
        <w:spacing w:before="0" w:after="140"/>
      </w:pPr>
      <w:r>
        <w:rPr>
          <w:rFonts w:ascii="Arial" w:cs="Arial" w:eastAsia="Arial" w:hAnsi="Arial"/>
          <w:color w:val="1A1A2E"/>
          <w:sz w:val="20"/>
          <w:szCs w:val="20"/>
        </w:rPr>
        <w:t xml:space="preserve">WavCash is royalty intelligence and payment infrastructure for music rights holders. We aggregate streaming data across every major DSP, calculate what rights holders are owed using tamper-proof verified data, surface missing money, guide registration with Collective Management Organizations, and — in Phase 2 — settle instantly to local currency.</w:t>
      </w:r>
    </w:p>
    <w:p>
      <w:pPr>
        <w:spacing w:before="0" w:after="80"/>
      </w:pPr>
      <w:r>
        <w:t xml:space="preserve"/>
      </w:r>
    </w:p>
    <w:p>
      <w:pPr>
        <w:spacing w:before="0" w:after="140"/>
      </w:pPr>
      <w:r>
        <w:rPr>
          <w:rFonts w:ascii="Arial" w:cs="Arial" w:eastAsia="Arial" w:hAnsi="Arial"/>
          <w:color w:val="1A1A2E"/>
          <w:sz w:val="20"/>
          <w:szCs w:val="20"/>
        </w:rPr>
        <w:t xml:space="preserve">The problem we solve is structural: music rights holders in Africa and Latin America earn fragmented royalties across Spotify, Apple Music, YouTube, and local DSPs with no unified visibility into what they are owed. CMO registration is broken, payment cycles take 2–6 months, and traditional publishers charge 25%+ commission just to collect money that already belongs to rights holders.</w:t>
      </w:r>
    </w:p>
    <w:p>
      <w:pPr>
        <w:spacing w:before="0" w:after="160"/>
      </w:pPr>
      <w:r>
        <w:t xml:space="preserve"/>
      </w:r>
    </w:p>
    <w:p>
      <w:pPr>
        <w:pStyle w:val="Heading2"/>
        <w:spacing w:before="360" w:after="160"/>
      </w:pPr>
      <w:r>
        <w:rPr>
          <w:rFonts w:ascii="Arial" w:cs="Arial" w:eastAsia="Arial" w:hAnsi="Arial"/>
          <w:b/>
          <w:bCs/>
          <w:color w:val="1A1A2E"/>
          <w:sz w:val="28"/>
          <w:szCs w:val="28"/>
        </w:rPr>
        <w:t xml:space="preserve">1.2 Market Framing — Music Rights 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F2FF" w:val="clear"/>
            <w:tcMar>
              <w:top w:type="dxa" w:w="120"/>
              <w:left w:type="dxa" w:w="120"/>
              <w:bottom w:type="dxa" w:w="120"/>
              <w:right w:type="dxa" w:w="80"/>
            </w:tcMar>
          </w:tcPr>
          <w:p>
            <w:pPr>
              <w:jc w:val="center"/>
            </w:pPr>
            <w:r>
              <w:rPr>
                <w:rFonts w:ascii="Arial" w:cs="Arial" w:eastAsia="Arial" w:hAnsi="Arial"/>
                <w:b/>
                <w:bCs/>
                <w:color w:val="4F46E5"/>
                <w:sz w:val="18"/>
                <w:szCs w:val="18"/>
              </w:rPr>
              <w:t xml:space="preserve">📌</w:t>
            </w:r>
          </w:p>
        </w:tc>
        <w:tc>
          <w:tcPr>
            <w:tcW w:type="dxa" w:w="9160"/>
            <w:tcBorders>
              <w:top w:val="none" w:color="FFFFFF" w:sz="0"/>
              <w:left w:val="none" w:color="FFFFFF" w:sz="0"/>
              <w:bottom w:val="none" w:color="FFFFFF" w:sz="0"/>
              <w:right w:val="none" w:color="FFFFFF" w:sz="0"/>
            </w:tcBorders>
            <w:shd w:fill="EEF2FF" w:val="clear"/>
            <w:tcMar>
              <w:top w:type="dxa" w:w="120"/>
              <w:left w:type="dxa" w:w="120"/>
              <w:bottom w:type="dxa" w:w="120"/>
              <w:right w:type="dxa" w:w="120"/>
            </w:tcMar>
          </w:tcPr>
          <w:p>
            <w:pPr>
              <w:spacing w:after="0"/>
            </w:pPr>
            <w:r>
              <w:rPr>
                <w:rFonts w:ascii="Arial" w:cs="Arial" w:eastAsia="Arial" w:hAnsi="Arial"/>
                <w:color w:val="1A1A2E"/>
                <w:sz w:val="20"/>
                <w:szCs w:val="20"/>
              </w:rPr>
              <w:t xml:space="preserve">WavCash is built for all music rights holders — not only recording artists. This distinction is intentional and expands our addressable market significantly. Independent artists are our primary acquisition channel and the face of our marketing, but the product serves anyone with a stake in a musical work.</w:t>
            </w:r>
          </w:p>
        </w:tc>
      </w:tr>
    </w:tbl>
    <w:p>
      <w:pPr>
        <w:spacing w:before="0" w:after="160"/>
      </w:pPr>
      <w:r>
        <w:t xml:space="preserve"/>
      </w:r>
    </w:p>
    <w:p>
      <w:pPr>
        <w:spacing w:before="0" w:after="140"/>
      </w:pPr>
      <w:r>
        <w:rPr>
          <w:rFonts w:ascii="Arial" w:cs="Arial" w:eastAsia="Arial" w:hAnsi="Arial"/>
          <w:color w:val="1A1A2E"/>
          <w:sz w:val="20"/>
          <w:szCs w:val="20"/>
        </w:rPr>
        <w:t xml:space="preserve">A music rights holder is any individual or entity with a legal ownership stake in a musical work or sound recording. This includes: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020"/>
        <w:gridCol w:w="3000"/>
      </w:tblGrid>
      <w:tr>
        <w:tc>
          <w:tcPr>
            <w:tcW w:type="dxa" w:w="23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Rights Holder Type</w:t>
            </w:r>
          </w:p>
        </w:tc>
        <w:tc>
          <w:tcPr>
            <w:tcW w:type="dxa" w:w="402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What They Own</w:t>
            </w:r>
          </w:p>
        </w:tc>
        <w:tc>
          <w:tcPr>
            <w:tcW w:type="dxa" w:w="30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Why WavCash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Independent Artist</w:t>
            </w:r>
          </w:p>
        </w:tc>
        <w:tc>
          <w:tcPr>
            <w:tcW w:type="dxa" w:w="4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Sound recording + composition (if self-written)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Primary user — needs visibility, CMO registration, splits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Songwriter / Composer</w:t>
            </w:r>
          </w:p>
        </w:tc>
        <w:tc>
          <w:tcPr>
            <w:tcW w:type="dxa" w:w="40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Composition rights (publishing)</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Often unregistered with PROs, missing mechanical/performance royalties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Music Producer</w:t>
            </w:r>
          </w:p>
        </w:tc>
        <w:tc>
          <w:tcPr>
            <w:tcW w:type="dxa" w:w="4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Sound recording share (via split agreement)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Needs onchain split agreements and royalty tracking per track</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Independent Publisher</w:t>
            </w:r>
          </w:p>
        </w:tc>
        <w:tc>
          <w:tcPr>
            <w:tcW w:type="dxa" w:w="40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Composition rights across a catalog</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Needs catalog-level visibility, CMO relationships, roster management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Manager / Label (3+ artists)</w:t>
            </w:r>
          </w:p>
        </w:tc>
        <w:tc>
          <w:tcPr>
            <w:tcW w:type="dxa" w:w="4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Administers rights on behalf of roster</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Enterprise tier — consolidated dashboard, bulk operations</w:t>
            </w:r>
          </w:p>
        </w:tc>
      </w:tr>
    </w:tbl>
    <w:p>
      <w:pPr>
        <w:spacing w:before="0" w:after="160"/>
      </w:pPr>
      <w:r>
        <w:t xml:space="preserve"/>
      </w:r>
    </w:p>
    <w:p>
      <w:pPr>
        <w:spacing w:before="0" w:after="140"/>
      </w:pPr>
      <w:r>
        <w:rPr>
          <w:rFonts w:ascii="Arial" w:cs="Arial" w:eastAsia="Arial" w:hAnsi="Arial"/>
          <w:color w:val="1A1A2E"/>
          <w:sz w:val="20"/>
          <w:szCs w:val="20"/>
        </w:rPr>
        <w:t xml:space="preserve">Marketing leads with independent artists because they are the most accessible entry point, the most vocal community, and the face of the problem we are solving. But every feature is built to serve the broader rights holder ecosystem, and Enterprise pricing reflects the value WavCash delivers to anyone managing 3 or more artists or works.</w:t>
      </w:r>
    </w:p>
    <w:p>
      <w:pPr>
        <w:spacing w:before="0" w:after="160"/>
      </w:pPr>
      <w:r>
        <w:t xml:space="preserve"/>
      </w:r>
    </w:p>
    <w:p>
      <w:pPr>
        <w:pStyle w:val="Heading2"/>
        <w:spacing w:before="360" w:after="160"/>
      </w:pPr>
      <w:r>
        <w:rPr>
          <w:rFonts w:ascii="Arial" w:cs="Arial" w:eastAsia="Arial" w:hAnsi="Arial"/>
          <w:b/>
          <w:bCs/>
          <w:color w:val="1A1A2E"/>
          <w:sz w:val="28"/>
          <w:szCs w:val="28"/>
        </w:rPr>
        <w:t xml:space="preserve">1.3 Primary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Market</w:t>
            </w:r>
          </w:p>
        </w:tc>
        <w:tc>
          <w:tcPr>
            <w:tcW w:type="dxa" w:w="23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CMO(s)</w:t>
            </w:r>
          </w:p>
        </w:tc>
        <w:tc>
          <w:tcPr>
            <w:tcW w:type="dxa" w:w="23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Key Payment Rail</w:t>
            </w:r>
          </w:p>
        </w:tc>
        <w:tc>
          <w:tcPr>
            <w:tcW w:type="dxa" w:w="23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Priority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Nigeria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UBC</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Paystack / Bank Transfer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P1</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Brazil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ECAD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PIX (Dock)</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P1</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South Africa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SAMRO / CAPASSO</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EFT / Bank Transfer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P1</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Mexico</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SACM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SPEI / CLABE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P1</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Kenya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MCSK</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M-Pesa / Bank Transfer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P2</w:t>
            </w:r>
          </w:p>
        </w:tc>
      </w:tr>
    </w:tbl>
    <w:p>
      <w:r>
        <w:br w:type="page"/>
      </w:r>
    </w:p>
    <w:p>
      <w:pPr>
        <w:pStyle w:val="Heading1"/>
        <w:pBdr>
          <w:bottom w:val="single" w:color="4F46E5" w:sz="4" w:space="6"/>
        </w:pBdr>
        <w:spacing w:before="480" w:after="200"/>
      </w:pPr>
      <w:r>
        <w:rPr>
          <w:rFonts w:ascii="Arial" w:cs="Arial" w:eastAsia="Arial" w:hAnsi="Arial"/>
          <w:b/>
          <w:bCs/>
          <w:color w:val="1A1A2E"/>
          <w:sz w:val="36"/>
          <w:szCs w:val="36"/>
        </w:rPr>
        <w:t xml:space="preserve">2. Core Architecture Principles</w:t>
      </w:r>
    </w:p>
    <w:p>
      <w:pPr>
        <w:pStyle w:val="Heading2"/>
        <w:spacing w:before="360" w:after="160"/>
      </w:pPr>
      <w:r>
        <w:rPr>
          <w:rFonts w:ascii="Arial" w:cs="Arial" w:eastAsia="Arial" w:hAnsi="Arial"/>
          <w:b/>
          <w:bCs/>
          <w:color w:val="1A1A2E"/>
          <w:sz w:val="28"/>
          <w:szCs w:val="28"/>
        </w:rPr>
        <w:t xml:space="preserve">2.1 Crypto Abstraction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20"/>
              <w:bottom w:type="dxa" w:w="120"/>
              <w:right w:type="dxa" w:w="80"/>
            </w:tcMar>
          </w:tcPr>
          <w:p>
            <w:pPr>
              <w:jc w:val="center"/>
            </w:pPr>
            <w:r>
              <w:rPr>
                <w:rFonts w:ascii="Arial" w:cs="Arial" w:eastAsia="Arial" w:hAnsi="Arial"/>
                <w:b/>
                <w:bCs/>
                <w:color w:val="D97706"/>
                <w:sz w:val="18"/>
                <w:szCs w:val="18"/>
              </w:rPr>
              <w:t xml:space="preserve">⚠️</w:t>
            </w:r>
          </w:p>
        </w:tc>
        <w:tc>
          <w:tcPr>
            <w:tcW w:type="dxa" w:w="9160"/>
            <w:tcBorders>
              <w:top w:val="none" w:color="FFFFFF" w:sz="0"/>
              <w:left w:val="none" w:color="FFFFFF" w:sz="0"/>
              <w:bottom w:val="none" w:color="FFFFFF" w:sz="0"/>
              <w:right w:val="none" w:color="FFFFFF" w:sz="0"/>
            </w:tcBorders>
            <w:shd w:fill="FEF3C7" w:val="clear"/>
            <w:tcMar>
              <w:top w:type="dxa" w:w="120"/>
              <w:left w:type="dxa" w:w="120"/>
              <w:bottom w:type="dxa" w:w="120"/>
              <w:right w:type="dxa" w:w="120"/>
            </w:tcMar>
          </w:tcPr>
          <w:p>
            <w:pPr>
              <w:spacing w:after="0"/>
            </w:pPr>
            <w:r>
              <w:rPr>
                <w:rFonts w:ascii="Arial" w:cs="Arial" w:eastAsia="Arial" w:hAnsi="Arial"/>
                <w:color w:val="1A1A2E"/>
                <w:sz w:val="20"/>
                <w:szCs w:val="20"/>
              </w:rPr>
              <w:t xml:space="preserve">The entire onchain layer is invisible by default. This applies to every screen, every flow, and every piece of copy in the product. No exceptions.</w:t>
            </w:r>
          </w:p>
        </w:tc>
      </w:tr>
    </w:tbl>
    <w:p>
      <w:pPr>
        <w:spacing w:before="0" w:after="160"/>
      </w:pPr>
      <w:r>
        <w:t xml:space="preserve"/>
      </w:r>
    </w:p>
    <w:p>
      <w:pPr>
        <w:spacing w:before="0" w:after="140"/>
      </w:pPr>
      <w:r>
        <w:rPr>
          <w:rFonts w:ascii="Arial" w:cs="Arial" w:eastAsia="Arial" w:hAnsi="Arial"/>
          <w:color w:val="1A1A2E"/>
          <w:sz w:val="20"/>
          <w:szCs w:val="20"/>
        </w:rPr>
        <w:t xml:space="preserve">WavCash runs on AVAX C-Chain for split agreements and data attestation. Rights holders in Lagos and São Paulo do not need to know this. The product experience is a clean fintech application.</w:t>
      </w:r>
    </w:p>
    <w:p>
      <w:pPr>
        <w:spacing w:before="0" w:after="80"/>
      </w:pPr>
      <w:r>
        <w:t xml:space="preserve"/>
      </w:r>
    </w:p>
    <w:p>
      <w:pPr>
        <w:pStyle w:val="ListParagraph"/>
        <w:numPr>
          <w:ilvl w:val="0"/>
          <w:numId w:val="2"/>
        </w:numPr>
        <w:spacing w:before="0" w:after="100"/>
      </w:pPr>
      <w:r>
        <w:rPr>
          <w:rFonts w:ascii="Arial" w:cs="Arial" w:eastAsia="Arial" w:hAnsi="Arial"/>
          <w:color w:val="1A1A2E"/>
          <w:sz w:val="20"/>
          <w:szCs w:val="20"/>
        </w:rPr>
        <w:t xml:space="preserve">Every rights holder has one account. Their catalog, royalty data, CMO registration status, split agreements, and payout history all live inside that account.</w:t>
      </w:r>
    </w:p>
    <w:p>
      <w:pPr>
        <w:pStyle w:val="ListParagraph"/>
        <w:numPr>
          <w:ilvl w:val="0"/>
          <w:numId w:val="2"/>
        </w:numPr>
        <w:spacing w:before="0" w:after="100"/>
      </w:pPr>
      <w:r>
        <w:rPr>
          <w:rFonts w:ascii="Arial" w:cs="Arial" w:eastAsia="Arial" w:hAnsi="Arial"/>
          <w:color w:val="1A1A2E"/>
          <w:sz w:val="20"/>
          <w:szCs w:val="20"/>
        </w:rPr>
        <w:t xml:space="preserve">Wallet creation at signup is silent. No seed phrases, no confirmation, no mention of it in the UI.</w:t>
      </w:r>
    </w:p>
    <w:p>
      <w:pPr>
        <w:pStyle w:val="ListParagraph"/>
        <w:numPr>
          <w:ilvl w:val="0"/>
          <w:numId w:val="2"/>
        </w:numPr>
        <w:spacing w:before="0" w:after="100"/>
      </w:pPr>
      <w:r>
        <w:rPr>
          <w:rFonts w:ascii="Arial" w:cs="Arial" w:eastAsia="Arial" w:hAnsi="Arial"/>
          <w:color w:val="1A1A2E"/>
          <w:sz w:val="20"/>
          <w:szCs w:val="20"/>
        </w:rPr>
        <w:t xml:space="preserve">When a split agreement is created, the UI shows "Agreement created." Not a contract address.</w:t>
      </w:r>
    </w:p>
    <w:p>
      <w:pPr>
        <w:pStyle w:val="ListParagraph"/>
        <w:numPr>
          <w:ilvl w:val="0"/>
          <w:numId w:val="2"/>
        </w:numPr>
        <w:spacing w:before="0" w:after="100"/>
      </w:pPr>
      <w:r>
        <w:rPr>
          <w:rFonts w:ascii="Arial" w:cs="Arial" w:eastAsia="Arial" w:hAnsi="Arial"/>
          <w:color w:val="1A1A2E"/>
          <w:sz w:val="20"/>
          <w:szCs w:val="20"/>
        </w:rPr>
        <w:t xml:space="preserve">When data is attested onchain, the UI shows "Verified." Not a transaction hash.</w:t>
      </w:r>
    </w:p>
    <w:p>
      <w:pPr>
        <w:pStyle w:val="ListParagraph"/>
        <w:numPr>
          <w:ilvl w:val="0"/>
          <w:numId w:val="2"/>
        </w:numPr>
        <w:spacing w:before="0" w:after="100"/>
      </w:pPr>
      <w:r>
        <w:rPr>
          <w:rFonts w:ascii="Arial" w:cs="Arial" w:eastAsia="Arial" w:hAnsi="Arial"/>
          <w:color w:val="1A1A2E"/>
          <w:sz w:val="20"/>
          <w:szCs w:val="20"/>
        </w:rPr>
        <w:t xml:space="preserve">Onchain details are available only in an optional "Verification" view the user must explicitly navigate to.</w:t>
      </w:r>
    </w:p>
    <w:p>
      <w:pPr>
        <w:pStyle w:val="ListParagraph"/>
        <w:numPr>
          <w:ilvl w:val="0"/>
          <w:numId w:val="2"/>
        </w:numPr>
        <w:spacing w:before="0" w:after="100"/>
      </w:pPr>
      <w:r>
        <w:rPr>
          <w:rFonts w:ascii="Arial" w:cs="Arial" w:eastAsia="Arial" w:hAnsi="Arial"/>
          <w:color w:val="1A1A2E"/>
          <w:sz w:val="20"/>
          <w:szCs w:val="20"/>
        </w:rPr>
        <w:t xml:space="preserve">Never use: wallet, contract, gas, chain, transaction hash, onchain, blockchain. Use: account, agreement, verified, permanent record.</w:t>
      </w:r>
    </w:p>
    <w:p>
      <w:pPr>
        <w:spacing w:before="0" w:after="80"/>
      </w:pPr>
      <w:r>
        <w:t xml:space="preserve"/>
      </w:r>
    </w:p>
    <w:p>
      <w:pPr>
        <w:spacing w:before="0" w:after="140"/>
      </w:pPr>
      <w:r>
        <w:rPr>
          <w:rFonts w:ascii="Arial" w:cs="Arial" w:eastAsia="Arial" w:hAnsi="Arial"/>
          <w:color w:val="1A1A2E"/>
          <w:sz w:val="20"/>
          <w:szCs w:val="20"/>
        </w:rPr>
        <w:t xml:space="preserve">The user-facing claim for data integrity: "Your royalty data is tamper-proof and permanently recorded. No one can alter your historical earnings."</w:t>
      </w:r>
    </w:p>
    <w:p>
      <w:pPr>
        <w:spacing w:before="0" w:after="160"/>
      </w:pPr>
      <w:r>
        <w:t xml:space="preserve"/>
      </w:r>
    </w:p>
    <w:p>
      <w:pPr>
        <w:pStyle w:val="Heading2"/>
        <w:spacing w:before="360" w:after="160"/>
      </w:pPr>
      <w:r>
        <w:rPr>
          <w:rFonts w:ascii="Arial" w:cs="Arial" w:eastAsia="Arial" w:hAnsi="Arial"/>
          <w:b/>
          <w:bCs/>
          <w:color w:val="1A1A2E"/>
          <w:sz w:val="28"/>
          <w:szCs w:val="28"/>
        </w:rPr>
        <w:t xml:space="preserve">2.2 No Fabricated Data — 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20"/>
              <w:bottom w:type="dxa" w:w="120"/>
              <w:right w:type="dxa" w:w="80"/>
            </w:tcMar>
          </w:tcPr>
          <w:p>
            <w:pPr>
              <w:jc w:val="center"/>
            </w:pPr>
            <w:r>
              <w:rPr>
                <w:rFonts w:ascii="Arial" w:cs="Arial" w:eastAsia="Arial" w:hAnsi="Arial"/>
                <w:b/>
                <w:bCs/>
                <w:color w:val="D97706"/>
                <w:sz w:val="18"/>
                <w:szCs w:val="18"/>
              </w:rPr>
              <w:t xml:space="preserve">⚠️</w:t>
            </w:r>
          </w:p>
        </w:tc>
        <w:tc>
          <w:tcPr>
            <w:tcW w:type="dxa" w:w="9160"/>
            <w:tcBorders>
              <w:top w:val="none" w:color="FFFFFF" w:sz="0"/>
              <w:left w:val="none" w:color="FFFFFF" w:sz="0"/>
              <w:bottom w:val="none" w:color="FFFFFF" w:sz="0"/>
              <w:right w:val="none" w:color="FFFFFF" w:sz="0"/>
            </w:tcBorders>
            <w:shd w:fill="FEF3C7" w:val="clear"/>
            <w:tcMar>
              <w:top w:type="dxa" w:w="120"/>
              <w:left w:type="dxa" w:w="120"/>
              <w:bottom w:type="dxa" w:w="120"/>
              <w:right w:type="dxa" w:w="120"/>
            </w:tcMar>
          </w:tcPr>
          <w:p>
            <w:pPr>
              <w:spacing w:after="0"/>
            </w:pPr>
            <w:r>
              <w:rPr>
                <w:rFonts w:ascii="Arial" w:cs="Arial" w:eastAsia="Arial" w:hAnsi="Arial"/>
                <w:color w:val="1A1A2E"/>
                <w:sz w:val="20"/>
                <w:szCs w:val="20"/>
              </w:rPr>
              <w:t xml:space="preserve">WavCash is a royalty intelligence tool. We never display estimated placeholders, mock data, or fabricated numbers anywhere in the product. If data is unavailable, we show a clear error or "connect your account" prompt — nothing more. Real errors are surfaced to the frontend so the team can identify and fix issues faster.</w:t>
            </w:r>
          </w:p>
        </w:tc>
      </w:tr>
    </w:tbl>
    <w:p>
      <w:pPr>
        <w:spacing w:before="0" w:after="160"/>
      </w:pPr>
      <w:r>
        <w:t xml:space="preserve"/>
      </w:r>
    </w:p>
    <w:p>
      <w:pPr>
        <w:pStyle w:val="ListParagraph"/>
        <w:numPr>
          <w:ilvl w:val="0"/>
          <w:numId w:val="2"/>
        </w:numPr>
        <w:spacing w:before="0" w:after="100"/>
      </w:pPr>
      <w:r>
        <w:rPr>
          <w:rFonts w:ascii="Arial" w:cs="Arial" w:eastAsia="Arial" w:hAnsi="Arial"/>
          <w:color w:val="1A1A2E"/>
          <w:sz w:val="20"/>
          <w:szCs w:val="20"/>
        </w:rPr>
        <w:t xml:space="preserve">If a DSP API is unavailable: show an error state with the DSP name and a retry option.</w:t>
      </w:r>
    </w:p>
    <w:p>
      <w:pPr>
        <w:pStyle w:val="ListParagraph"/>
        <w:numPr>
          <w:ilvl w:val="0"/>
          <w:numId w:val="2"/>
        </w:numPr>
        <w:spacing w:before="0" w:after="100"/>
      </w:pPr>
      <w:r>
        <w:rPr>
          <w:rFonts w:ascii="Arial" w:cs="Arial" w:eastAsia="Arial" w:hAnsi="Arial"/>
          <w:color w:val="1A1A2E"/>
          <w:sz w:val="20"/>
          <w:szCs w:val="20"/>
        </w:rPr>
        <w:t xml:space="preserve">If an artist has not connected a DSP: show a "Connect [DSP]" prompt with no numbers beside it.</w:t>
      </w:r>
    </w:p>
    <w:p>
      <w:pPr>
        <w:pStyle w:val="ListParagraph"/>
        <w:numPr>
          <w:ilvl w:val="0"/>
          <w:numId w:val="2"/>
        </w:numPr>
        <w:spacing w:before="0" w:after="100"/>
      </w:pPr>
      <w:r>
        <w:rPr>
          <w:rFonts w:ascii="Arial" w:cs="Arial" w:eastAsia="Arial" w:hAnsi="Arial"/>
          <w:color w:val="1A1A2E"/>
          <w:sz w:val="20"/>
          <w:szCs w:val="20"/>
        </w:rPr>
        <w:t xml:space="preserve">If the oracle calculation fails for any reason: show the error, do not show a fallback figure.</w:t>
      </w:r>
    </w:p>
    <w:p>
      <w:pPr>
        <w:pStyle w:val="ListParagraph"/>
        <w:numPr>
          <w:ilvl w:val="0"/>
          <w:numId w:val="2"/>
        </w:numPr>
        <w:spacing w:before="0" w:after="100"/>
      </w:pPr>
      <w:r>
        <w:rPr>
          <w:rFonts w:ascii="Arial" w:cs="Arial" w:eastAsia="Arial" w:hAnsi="Arial"/>
          <w:color w:val="1A1A2E"/>
          <w:sz w:val="20"/>
          <w:szCs w:val="20"/>
        </w:rPr>
        <w:t xml:space="preserve">No mock data in any environment that a user will ever see.</w:t>
      </w:r>
    </w:p>
    <w:p>
      <w:pPr>
        <w:spacing w:before="0" w:after="160"/>
      </w:pPr>
      <w:r>
        <w:t xml:space="preserve"/>
      </w:r>
    </w:p>
    <w:p>
      <w:pPr>
        <w:pStyle w:val="Heading2"/>
        <w:spacing w:before="360" w:after="160"/>
      </w:pPr>
      <w:r>
        <w:rPr>
          <w:rFonts w:ascii="Arial" w:cs="Arial" w:eastAsia="Arial" w:hAnsi="Arial"/>
          <w:b/>
          <w:bCs/>
          <w:color w:val="1A1A2E"/>
          <w:sz w:val="28"/>
          <w:szCs w:val="28"/>
        </w:rPr>
        <w:t xml:space="preserve">2.3 Oracle as Primary Truth</w:t>
      </w:r>
    </w:p>
    <w:p>
      <w:pPr>
        <w:spacing w:before="0" w:after="140"/>
      </w:pPr>
      <w:r>
        <w:rPr>
          <w:rFonts w:ascii="Arial" w:cs="Arial" w:eastAsia="Arial" w:hAnsi="Arial"/>
          <w:color w:val="1A1A2E"/>
          <w:sz w:val="20"/>
          <w:szCs w:val="20"/>
        </w:rPr>
        <w:t xml:space="preserve">The royalty oracle is the primary source of truth on the dashboard. It calculates estimated royalties from real DSP stream counts multiplied by published, independently verified per-stream rates. Distributor CSV statements are a secondary layer used for comparison and missing money detection only.</w:t>
      </w:r>
    </w:p>
    <w:p>
      <w:pPr>
        <w:spacing w:before="0" w:after="160"/>
      </w:pPr>
      <w:r>
        <w:t xml:space="preserve"/>
      </w:r>
    </w:p>
    <w:p>
      <w:pPr>
        <w:pStyle w:val="Heading2"/>
        <w:spacing w:before="360" w:after="160"/>
      </w:pPr>
      <w:r>
        <w:rPr>
          <w:rFonts w:ascii="Arial" w:cs="Arial" w:eastAsia="Arial" w:hAnsi="Arial"/>
          <w:b/>
          <w:bCs/>
          <w:color w:val="1A1A2E"/>
          <w:sz w:val="28"/>
          <w:szCs w:val="28"/>
        </w:rPr>
        <w:t xml:space="preserve">2.4 Tamper-Proof Data Architecture</w:t>
      </w:r>
    </w:p>
    <w:p>
      <w:pPr>
        <w:spacing w:before="0" w:after="140"/>
      </w:pPr>
      <w:r>
        <w:rPr>
          <w:rFonts w:ascii="Arial" w:cs="Arial" w:eastAsia="Arial" w:hAnsi="Arial"/>
          <w:color w:val="1A1A2E"/>
          <w:sz w:val="20"/>
          <w:szCs w:val="20"/>
        </w:rPr>
        <w:t xml:space="preserve">The oracle pipeline runs offchain for cost efficiency. Trust is enforced through a daily onchain attestation:</w:t>
      </w:r>
    </w:p>
    <w:p>
      <w:pPr>
        <w:spacing w:before="0" w:after="80"/>
      </w:pPr>
      <w:r>
        <w:t xml:space="preserve"/>
      </w:r>
    </w:p>
    <w:p>
      <w:pPr>
        <w:pStyle w:val="ListParagraph"/>
        <w:numPr>
          <w:ilvl w:val="0"/>
          <w:numId w:val="3"/>
        </w:numPr>
        <w:spacing w:before="0" w:after="100"/>
      </w:pPr>
      <w:r>
        <w:rPr>
          <w:rFonts w:ascii="Arial" w:cs="Arial" w:eastAsia="Arial" w:hAnsi="Arial"/>
          <w:color w:val="1A1A2E"/>
          <w:sz w:val="20"/>
          <w:szCs w:val="20"/>
        </w:rPr>
        <w:t xml:space="preserve">Stream counts fetched from DSP APIs via offchain cron job — stored in Supabase.</w:t>
      </w:r>
    </w:p>
    <w:p>
      <w:pPr>
        <w:pStyle w:val="ListParagraph"/>
        <w:numPr>
          <w:ilvl w:val="0"/>
          <w:numId w:val="3"/>
        </w:numPr>
        <w:spacing w:before="0" w:after="100"/>
      </w:pPr>
      <w:r>
        <w:rPr>
          <w:rFonts w:ascii="Arial" w:cs="Arial" w:eastAsia="Arial" w:hAnsi="Arial"/>
          <w:color w:val="1A1A2E"/>
          <w:sz w:val="20"/>
          <w:szCs w:val="20"/>
        </w:rPr>
        <w:t xml:space="preserve">Rates fetched from independently verified onchain rate feeds (powered by Chainlink — abstracted from users).</w:t>
      </w:r>
    </w:p>
    <w:p>
      <w:pPr>
        <w:pStyle w:val="ListParagraph"/>
        <w:numPr>
          <w:ilvl w:val="0"/>
          <w:numId w:val="3"/>
        </w:numPr>
        <w:spacing w:before="0" w:after="100"/>
      </w:pPr>
      <w:r>
        <w:rPr>
          <w:rFonts w:ascii="Arial" w:cs="Arial" w:eastAsia="Arial" w:hAnsi="Arial"/>
          <w:color w:val="1A1A2E"/>
          <w:sz w:val="20"/>
          <w:szCs w:val="20"/>
        </w:rPr>
        <w:t xml:space="preserve">Oracle calculation runs offchain — earnings estimates computed and stored in Supabase.</w:t>
      </w:r>
    </w:p>
    <w:p>
      <w:pPr>
        <w:pStyle w:val="ListParagraph"/>
        <w:numPr>
          <w:ilvl w:val="0"/>
          <w:numId w:val="3"/>
        </w:numPr>
        <w:spacing w:before="0" w:after="100"/>
      </w:pPr>
      <w:r>
        <w:rPr>
          <w:rFonts w:ascii="Arial" w:cs="Arial" w:eastAsia="Arial" w:hAnsi="Arial"/>
          <w:color w:val="1A1A2E"/>
          <w:sz w:val="20"/>
          <w:szCs w:val="20"/>
        </w:rPr>
        <w:t xml:space="preserve">Once per day: a cryptographic merkle root of the entire day's dataset is written to AVAX C-Chain in a single transaction. If any number in the underlying data were altered, the hash would not match — making tampering detectable and permanently recorded.</w:t>
      </w:r>
    </w:p>
    <w:p>
      <w:pPr>
        <w:spacing w:before="0" w:after="80"/>
      </w:pPr>
      <w:r>
        <w:t xml:space="preserve"/>
      </w:r>
    </w:p>
    <w:p>
      <w:pPr>
        <w:spacing w:before="0" w:after="140"/>
      </w:pPr>
      <w:r>
        <w:rPr>
          <w:rFonts w:ascii="Arial" w:cs="Arial" w:eastAsia="Arial" w:hAnsi="Arial"/>
          <w:color w:val="1A1A2E"/>
          <w:sz w:val="20"/>
          <w:szCs w:val="20"/>
        </w:rPr>
        <w:t xml:space="preserve">This architecture delivers the same trust guarantee as a fully onchain oracle at approximately 1% of the cost. One AVAX transaction per day covers every artist, every track, every DSP — versus per-request fees that would scale prohibitively with user growth.</w:t>
      </w:r>
    </w:p>
    <w:p>
      <w:pPr>
        <w:spacing w:before="0" w:after="160"/>
      </w:pPr>
      <w:r>
        <w:t xml:space="preserve"/>
      </w:r>
    </w:p>
    <w:p>
      <w:pPr>
        <w:pStyle w:val="Heading2"/>
        <w:spacing w:before="360" w:after="160"/>
      </w:pPr>
      <w:r>
        <w:rPr>
          <w:rFonts w:ascii="Arial" w:cs="Arial" w:eastAsia="Arial" w:hAnsi="Arial"/>
          <w:b/>
          <w:bCs/>
          <w:color w:val="1A1A2E"/>
          <w:sz w:val="28"/>
          <w:szCs w:val="28"/>
        </w:rPr>
        <w:t xml:space="preserve">2.5 Per-Track Configuration</w:t>
      </w:r>
    </w:p>
    <w:p>
      <w:pPr>
        <w:spacing w:before="0" w:after="140"/>
      </w:pPr>
      <w:r>
        <w:rPr>
          <w:rFonts w:ascii="Arial" w:cs="Arial" w:eastAsia="Arial" w:hAnsi="Arial"/>
          <w:color w:val="1A1A2E"/>
          <w:sz w:val="20"/>
          <w:szCs w:val="20"/>
        </w:rPr>
        <w:t xml:space="preserve">Key settings — including the payout rail toggle introduced in Phase 2 — operate at the track level, not the account level. A rights holder may want WavCash handling payouts for some tracks and not others.</w:t>
      </w:r>
    </w:p>
    <w:p>
      <w:pPr>
        <w:spacing w:before="0" w:after="160"/>
      </w:pPr>
      <w:r>
        <w:t xml:space="preserve"/>
      </w:r>
    </w:p>
    <w:p>
      <w:pPr>
        <w:pStyle w:val="Heading2"/>
        <w:spacing w:before="360" w:after="160"/>
      </w:pPr>
      <w:r>
        <w:rPr>
          <w:rFonts w:ascii="Arial" w:cs="Arial" w:eastAsia="Arial" w:hAnsi="Arial"/>
          <w:b/>
          <w:bCs/>
          <w:color w:val="1A1A2E"/>
          <w:sz w:val="28"/>
          <w:szCs w:val="28"/>
        </w:rPr>
        <w:t xml:space="preserve">2.6 Splits: Record Keeping at MVP, Redistribution in Phase 2</w:t>
      </w:r>
    </w:p>
    <w:p>
      <w:pPr>
        <w:spacing w:before="0" w:after="140"/>
      </w:pPr>
      <w:r>
        <w:rPr>
          <w:rFonts w:ascii="Arial" w:cs="Arial" w:eastAsia="Arial" w:hAnsi="Arial"/>
          <w:color w:val="1A1A2E"/>
          <w:sz w:val="20"/>
          <w:szCs w:val="20"/>
        </w:rPr>
        <w:t xml:space="preserve">At MVP, Splits by WavCash creates legally binding onchain agreements that record who owns what percentage of a work. The agreement is proof — permanent, tamper-proof, and verifiable.</w:t>
      </w:r>
    </w:p>
    <w:p>
      <w:pPr>
        <w:spacing w:before="0" w:after="80"/>
      </w:pPr>
      <w:r>
        <w:t xml:space="preserve"/>
      </w:r>
    </w:p>
    <w:p>
      <w:pPr>
        <w:spacing w:before="0" w:after="140"/>
      </w:pPr>
      <w:r>
        <w:rPr>
          <w:rFonts w:ascii="Arial" w:cs="Arial" w:eastAsia="Arial" w:hAnsi="Arial"/>
          <w:color w:val="1A1A2E"/>
          <w:sz w:val="20"/>
          <w:szCs w:val="20"/>
        </w:rPr>
        <w:t xml:space="preserve">Automatic financial redistribution — where incoming royalties are split and distributed to contributors — activates in Phase 2 when the virtual account payment infrastructure ships. The UI clearly communicates this to users at the point of creating a split agreement.</w:t>
      </w:r>
    </w:p>
    <w:p>
      <w:r>
        <w:br w:type="page"/>
      </w:r>
    </w:p>
    <w:p>
      <w:pPr>
        <w:pStyle w:val="Heading1"/>
        <w:pBdr>
          <w:bottom w:val="single" w:color="4F46E5" w:sz="4" w:space="6"/>
        </w:pBdr>
        <w:spacing w:before="480" w:after="200"/>
      </w:pPr>
      <w:r>
        <w:rPr>
          <w:rFonts w:ascii="Arial" w:cs="Arial" w:eastAsia="Arial" w:hAnsi="Arial"/>
          <w:b/>
          <w:bCs/>
          <w:color w:val="1A1A2E"/>
          <w:sz w:val="36"/>
          <w:szCs w:val="36"/>
        </w:rPr>
        <w:t xml:space="preserve">3. Pricing &amp; Tier Structure</w:t>
      </w:r>
    </w:p>
    <w:p>
      <w:pPr>
        <w:pStyle w:val="Heading2"/>
        <w:spacing w:before="360" w:after="160"/>
      </w:pPr>
      <w:r>
        <w:rPr>
          <w:rFonts w:ascii="Arial" w:cs="Arial" w:eastAsia="Arial" w:hAnsi="Arial"/>
          <w:b/>
          <w:bCs/>
          <w:color w:val="1A1A2E"/>
          <w:sz w:val="28"/>
          <w:szCs w:val="28"/>
        </w:rPr>
        <w:t xml:space="preserve">3.1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760"/>
        <w:gridCol w:w="1920"/>
        <w:gridCol w:w="1720"/>
      </w:tblGrid>
      <w:tr>
        <w:tc>
          <w:tcPr>
            <w:tcW w:type="dxa" w:w="22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Tier</w:t>
            </w:r>
          </w:p>
        </w:tc>
        <w:tc>
          <w:tcPr>
            <w:tcW w:type="dxa" w:w="176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Annual Price</w:t>
            </w:r>
          </w:p>
        </w:tc>
        <w:tc>
          <w:tcPr>
            <w:tcW w:type="dxa" w:w="176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Monthly Price</w:t>
            </w:r>
          </w:p>
        </w:tc>
        <w:tc>
          <w:tcPr>
            <w:tcW w:type="dxa" w:w="192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Seats</w:t>
            </w:r>
          </w:p>
        </w:tc>
        <w:tc>
          <w:tcPr>
            <w:tcW w:type="dxa" w:w="172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Annual Saving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Basic</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$6.99/month</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$9.99/month</w:t>
            </w:r>
          </w:p>
        </w:tc>
        <w:tc>
          <w:tcPr>
            <w:tcW w:type="dxa" w:w="19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1</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$36/year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Premium</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$11.99/month</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$14.99/month</w:t>
            </w:r>
          </w:p>
        </w:tc>
        <w:tc>
          <w:tcPr>
            <w:tcW w:type="dxa" w:w="19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1</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$36/year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Enterprise (3-seat)</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$45/month</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$55/month</w:t>
            </w:r>
          </w:p>
        </w:tc>
        <w:tc>
          <w:tcPr>
            <w:tcW w:type="dxa" w:w="19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3</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$120/year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Enterprise (5-seat)</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$75/month</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$85/month</w:t>
            </w:r>
          </w:p>
        </w:tc>
        <w:tc>
          <w:tcPr>
            <w:tcW w:type="dxa" w:w="19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5</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$120/year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F2FF" w:val="clear"/>
            <w:tcMar>
              <w:top w:type="dxa" w:w="120"/>
              <w:left w:type="dxa" w:w="120"/>
              <w:bottom w:type="dxa" w:w="120"/>
              <w:right w:type="dxa" w:w="80"/>
            </w:tcMar>
          </w:tcPr>
          <w:p>
            <w:pPr>
              <w:jc w:val="center"/>
            </w:pPr>
            <w:r>
              <w:rPr>
                <w:rFonts w:ascii="Arial" w:cs="Arial" w:eastAsia="Arial" w:hAnsi="Arial"/>
                <w:b/>
                <w:bCs/>
                <w:color w:val="4F46E5"/>
                <w:sz w:val="18"/>
                <w:szCs w:val="18"/>
              </w:rPr>
              <w:t xml:space="preserve">ℹ️</w:t>
            </w:r>
          </w:p>
        </w:tc>
        <w:tc>
          <w:tcPr>
            <w:tcW w:type="dxa" w:w="9160"/>
            <w:tcBorders>
              <w:top w:val="none" w:color="FFFFFF" w:sz="0"/>
              <w:left w:val="none" w:color="FFFFFF" w:sz="0"/>
              <w:bottom w:val="none" w:color="FFFFFF" w:sz="0"/>
              <w:right w:val="none" w:color="FFFFFF" w:sz="0"/>
            </w:tcBorders>
            <w:shd w:fill="EEF2FF" w:val="clear"/>
            <w:tcMar>
              <w:top w:type="dxa" w:w="120"/>
              <w:left w:type="dxa" w:w="120"/>
              <w:bottom w:type="dxa" w:w="120"/>
              <w:right w:type="dxa" w:w="120"/>
            </w:tcMar>
          </w:tcPr>
          <w:p>
            <w:pPr>
              <w:spacing w:after="0"/>
            </w:pPr>
            <w:r>
              <w:rPr>
                <w:rFonts w:ascii="Arial" w:cs="Arial" w:eastAsia="Arial" w:hAnsi="Arial"/>
                <w:color w:val="1A1A2E"/>
                <w:sz w:val="20"/>
                <w:szCs w:val="20"/>
              </w:rPr>
              <w:t xml:space="preserve">All prices in USD. Enterprise is for any rights holder or organization managing 3 or more artists or works — not limited to traditional labels. Seats refer to team member logins. Artist profiles within an Enterprise account are unlimited.</w:t>
            </w:r>
          </w:p>
        </w:tc>
      </w:tr>
    </w:tbl>
    <w:p>
      <w:pPr>
        <w:spacing w:before="0" w:after="160"/>
      </w:pPr>
      <w:r>
        <w:t xml:space="preserve"/>
      </w:r>
    </w:p>
    <w:p>
      <w:pPr>
        <w:pStyle w:val="Heading2"/>
        <w:spacing w:before="360" w:after="160"/>
      </w:pPr>
      <w:r>
        <w:rPr>
          <w:rFonts w:ascii="Arial" w:cs="Arial" w:eastAsia="Arial" w:hAnsi="Arial"/>
          <w:b/>
          <w:bCs/>
          <w:color w:val="1A1A2E"/>
          <w:sz w:val="28"/>
          <w:szCs w:val="28"/>
        </w:rPr>
        <w:t xml:space="preserve">3.2 Feature Gating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c>
          <w:tcPr>
            <w:tcW w:type="dxa" w:w="36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Feature</w:t>
            </w:r>
          </w:p>
        </w:tc>
        <w:tc>
          <w:tcPr>
            <w:tcW w:type="dxa" w:w="14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Free</w:t>
            </w:r>
          </w:p>
        </w:tc>
        <w:tc>
          <w:tcPr>
            <w:tcW w:type="dxa" w:w="14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Basic</w:t>
            </w:r>
          </w:p>
        </w:tc>
        <w:tc>
          <w:tcPr>
            <w:tcW w:type="dxa" w:w="14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Premium</w:t>
            </w:r>
          </w:p>
        </w:tc>
        <w:tc>
          <w:tcPr>
            <w:tcW w:type="dxa" w:w="14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Enterprise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Royalty Sniffer (public)</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Catalog setup via Spotify OAuth</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Oracle Dashboard (summary)</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Oracle Dashboard (track-level breakdown)</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DSP account connect (Apple, Amazon, Tidal)</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CSV upload &amp; missing money detection</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Reclaim — CMO registration guide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Splits by WavCash (onchain agreements)</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Multi-artist roster management</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Consolidated roster reporting</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Seat / team management</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t>
            </w:r>
          </w:p>
        </w:tc>
      </w:tr>
    </w:tbl>
    <w:p>
      <w:pPr>
        <w:spacing w:before="0" w:after="160"/>
      </w:pPr>
      <w:r>
        <w:t xml:space="preserve"/>
      </w:r>
    </w:p>
    <w:p>
      <w:pPr>
        <w:pStyle w:val="Heading2"/>
        <w:spacing w:before="360" w:after="160"/>
      </w:pPr>
      <w:r>
        <w:rPr>
          <w:rFonts w:ascii="Arial" w:cs="Arial" w:eastAsia="Arial" w:hAnsi="Arial"/>
          <w:b/>
          <w:bCs/>
          <w:color w:val="1A1A2E"/>
          <w:sz w:val="28"/>
          <w:szCs w:val="28"/>
        </w:rPr>
        <w:t xml:space="preserve">3.3 Revenue Model</w:t>
      </w:r>
    </w:p>
    <w:p>
      <w:pPr>
        <w:spacing w:before="0" w:after="140"/>
      </w:pPr>
      <w:r>
        <w:rPr>
          <w:rFonts w:ascii="Arial" w:cs="Arial" w:eastAsia="Arial" w:hAnsi="Arial"/>
          <w:color w:val="1A1A2E"/>
          <w:sz w:val="20"/>
          <w:szCs w:val="20"/>
        </w:rPr>
        <w:t xml:space="preserve">At MVP, WavCash generates revenue exclusively from subscriptions. No money moves through the platform at this stage.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1FAE5" w:val="clear"/>
            <w:tcMar>
              <w:top w:type="dxa" w:w="120"/>
              <w:left w:type="dxa" w:w="120"/>
              <w:bottom w:type="dxa" w:w="120"/>
              <w:right w:type="dxa" w:w="80"/>
            </w:tcMar>
          </w:tcPr>
          <w:p>
            <w:pPr>
              <w:jc w:val="center"/>
            </w:pPr>
            <w:r>
              <w:rPr>
                <w:rFonts w:ascii="Arial" w:cs="Arial" w:eastAsia="Arial" w:hAnsi="Arial"/>
                <w:b/>
                <w:bCs/>
                <w:color w:val="16A34A"/>
                <w:sz w:val="18"/>
                <w:szCs w:val="18"/>
              </w:rPr>
              <w:t xml:space="preserve">📋</w:t>
            </w:r>
          </w:p>
        </w:tc>
        <w:tc>
          <w:tcPr>
            <w:tcW w:type="dxa" w:w="9160"/>
            <w:tcBorders>
              <w:top w:val="none" w:color="FFFFFF" w:sz="0"/>
              <w:left w:val="none" w:color="FFFFFF" w:sz="0"/>
              <w:bottom w:val="none" w:color="FFFFFF" w:sz="0"/>
              <w:right w:val="none" w:color="FFFFFF" w:sz="0"/>
            </w:tcBorders>
            <w:shd w:fill="D1FAE5" w:val="clear"/>
            <w:tcMar>
              <w:top w:type="dxa" w:w="120"/>
              <w:left w:type="dxa" w:w="120"/>
              <w:bottom w:type="dxa" w:w="120"/>
              <w:right w:type="dxa" w:w="120"/>
            </w:tcMar>
          </w:tcPr>
          <w:p>
            <w:pPr>
              <w:spacing w:after="0"/>
            </w:pPr>
            <w:r>
              <w:rPr>
                <w:rFonts w:ascii="Arial" w:cs="Arial" w:eastAsia="Arial" w:hAnsi="Arial"/>
                <w:color w:val="1A1A2E"/>
                <w:sz w:val="20"/>
                <w:szCs w:val="20"/>
              </w:rPr>
              <w:t xml:space="preserve">Phase 2 activates two transaction revenue streams simultaneously via virtual account infrastructure: (a) distributor royalty payouts at 0.5% transaction fee + 2% FX spread on local currency settlements, and (b) CMO royalty collection at 9.5% commission + 0.5% processing fee. Enterprise tools also launch in Phase 2, positioned to capture label and management company volume from day one of the payment rails going live.</w:t>
            </w:r>
          </w:p>
        </w:tc>
      </w:tr>
    </w:tbl>
    <w:p>
      <w:r>
        <w:br w:type="page"/>
      </w:r>
    </w:p>
    <w:p>
      <w:pPr>
        <w:pStyle w:val="Heading1"/>
        <w:pBdr>
          <w:bottom w:val="single" w:color="4F46E5" w:sz="4" w:space="6"/>
        </w:pBdr>
        <w:spacing w:before="480" w:after="200"/>
      </w:pPr>
      <w:r>
        <w:rPr>
          <w:rFonts w:ascii="Arial" w:cs="Arial" w:eastAsia="Arial" w:hAnsi="Arial"/>
          <w:b/>
          <w:bCs/>
          <w:color w:val="1A1A2E"/>
          <w:sz w:val="36"/>
          <w:szCs w:val="36"/>
        </w:rPr>
        <w:t xml:space="preserve">4. MVP Feature Specifications</w:t>
      </w:r>
    </w:p>
    <w:p>
      <w:pPr>
        <w:pStyle w:val="Heading2"/>
        <w:spacing w:before="360" w:after="160"/>
      </w:pPr>
      <w:r>
        <w:rPr>
          <w:rFonts w:ascii="Arial" w:cs="Arial" w:eastAsia="Arial" w:hAnsi="Arial"/>
          <w:b/>
          <w:bCs/>
          <w:color w:val="1A1A2E"/>
          <w:sz w:val="28"/>
          <w:szCs w:val="28"/>
        </w:rPr>
        <w:t xml:space="preserve">4.1 Royalty Sniffer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Access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Public — no login required</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Tier</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Free (acquisition funnel)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Rate limit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2 queries per IP per hour</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URL</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/sniffer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Purpose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Top-of-funnel acquisition. Rights holder enters their Spotify URL and sees a verified estimate of their royalties before creating an account.</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User Flow</w:t>
      </w:r>
    </w:p>
    <w:p>
      <w:pPr>
        <w:pStyle w:val="ListParagraph"/>
        <w:numPr>
          <w:ilvl w:val="0"/>
          <w:numId w:val="3"/>
        </w:numPr>
        <w:spacing w:before="0" w:after="100"/>
      </w:pPr>
      <w:r>
        <w:rPr>
          <w:rFonts w:ascii="Arial" w:cs="Arial" w:eastAsia="Arial" w:hAnsi="Arial"/>
          <w:color w:val="1A1A2E"/>
          <w:sz w:val="20"/>
          <w:szCs w:val="20"/>
        </w:rPr>
        <w:t xml:space="preserve">Rights holder navigates to /sniffer</w:t>
      </w:r>
    </w:p>
    <w:p>
      <w:pPr>
        <w:pStyle w:val="ListParagraph"/>
        <w:numPr>
          <w:ilvl w:val="0"/>
          <w:numId w:val="3"/>
        </w:numPr>
        <w:spacing w:before="0" w:after="100"/>
      </w:pPr>
      <w:r>
        <w:rPr>
          <w:rFonts w:ascii="Arial" w:cs="Arial" w:eastAsia="Arial" w:hAnsi="Arial"/>
          <w:color w:val="1A1A2E"/>
          <w:sz w:val="20"/>
          <w:szCs w:val="20"/>
        </w:rPr>
        <w:t xml:space="preserve">Single input: "Paste your Spotify artist link"</w:t>
      </w:r>
    </w:p>
    <w:p>
      <w:pPr>
        <w:pStyle w:val="ListParagraph"/>
        <w:numPr>
          <w:ilvl w:val="0"/>
          <w:numId w:val="3"/>
        </w:numPr>
        <w:spacing w:before="0" w:after="100"/>
      </w:pPr>
      <w:r>
        <w:rPr>
          <w:rFonts w:ascii="Arial" w:cs="Arial" w:eastAsia="Arial" w:hAnsi="Arial"/>
          <w:color w:val="1A1A2E"/>
          <w:sz w:val="20"/>
          <w:szCs w:val="20"/>
        </w:rPr>
        <w:t xml:space="preserve">Rights holder pastes Spotify URL — WavCash extracts the Spotify Artist URI</w:t>
      </w:r>
    </w:p>
    <w:p>
      <w:pPr>
        <w:pStyle w:val="ListParagraph"/>
        <w:numPr>
          <w:ilvl w:val="0"/>
          <w:numId w:val="3"/>
        </w:numPr>
        <w:spacing w:before="0" w:after="100"/>
      </w:pPr>
      <w:r>
        <w:rPr>
          <w:rFonts w:ascii="Arial" w:cs="Arial" w:eastAsia="Arial" w:hAnsi="Arial"/>
          <w:color w:val="1A1A2E"/>
          <w:sz w:val="20"/>
          <w:szCs w:val="20"/>
        </w:rPr>
        <w:t xml:space="preserve">System calls Spotify API to pull full catalog with ISRCs</w:t>
      </w:r>
    </w:p>
    <w:p>
      <w:pPr>
        <w:pStyle w:val="ListParagraph"/>
        <w:numPr>
          <w:ilvl w:val="0"/>
          <w:numId w:val="3"/>
        </w:numPr>
        <w:spacing w:before="0" w:after="100"/>
      </w:pPr>
      <w:r>
        <w:rPr>
          <w:rFonts w:ascii="Arial" w:cs="Arial" w:eastAsia="Arial" w:hAnsi="Arial"/>
          <w:color w:val="1A1A2E"/>
          <w:sz w:val="20"/>
          <w:szCs w:val="20"/>
        </w:rPr>
        <w:t xml:space="preserve">System queries each connected DSP API using extracted ISRCs</w:t>
      </w:r>
    </w:p>
    <w:p>
      <w:pPr>
        <w:pStyle w:val="ListParagraph"/>
        <w:numPr>
          <w:ilvl w:val="0"/>
          <w:numId w:val="3"/>
        </w:numPr>
        <w:spacing w:before="0" w:after="100"/>
      </w:pPr>
      <w:r>
        <w:rPr>
          <w:rFonts w:ascii="Arial" w:cs="Arial" w:eastAsia="Arial" w:hAnsi="Arial"/>
          <w:color w:val="1A1A2E"/>
          <w:sz w:val="20"/>
          <w:szCs w:val="20"/>
        </w:rPr>
        <w:t xml:space="preserve">Oracle applies verified per-stream rates to calculate estimated royalties</w:t>
      </w:r>
    </w:p>
    <w:p>
      <w:pPr>
        <w:pStyle w:val="ListParagraph"/>
        <w:numPr>
          <w:ilvl w:val="0"/>
          <w:numId w:val="3"/>
        </w:numPr>
        <w:spacing w:before="0" w:after="100"/>
      </w:pPr>
      <w:r>
        <w:rPr>
          <w:rFonts w:ascii="Arial" w:cs="Arial" w:eastAsia="Arial" w:hAnsi="Arial"/>
          <w:color w:val="1A1A2E"/>
          <w:sz w:val="20"/>
          <w:szCs w:val="20"/>
        </w:rPr>
        <w:t xml:space="preserve">Results card renders: total estimated royalties + breakdown by DSP</w:t>
      </w:r>
    </w:p>
    <w:p>
      <w:pPr>
        <w:pStyle w:val="ListParagraph"/>
        <w:numPr>
          <w:ilvl w:val="0"/>
          <w:numId w:val="3"/>
        </w:numPr>
        <w:spacing w:before="0" w:after="100"/>
      </w:pPr>
      <w:r>
        <w:rPr>
          <w:rFonts w:ascii="Arial" w:cs="Arial" w:eastAsia="Arial" w:hAnsi="Arial"/>
          <w:color w:val="1A1A2E"/>
          <w:sz w:val="20"/>
          <w:szCs w:val="20"/>
        </w:rPr>
        <w:t xml:space="preserve">Primary CTA: "Claim your earnings — create a free account"</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Results Card — Display Rules</w:t>
      </w:r>
    </w:p>
    <w:p>
      <w:pPr>
        <w:pStyle w:val="ListParagraph"/>
        <w:numPr>
          <w:ilvl w:val="0"/>
          <w:numId w:val="2"/>
        </w:numPr>
        <w:spacing w:before="0" w:after="100"/>
      </w:pPr>
      <w:r>
        <w:rPr>
          <w:rFonts w:ascii="Arial" w:cs="Arial" w:eastAsia="Arial" w:hAnsi="Arial"/>
          <w:b/>
          <w:bCs/>
          <w:color w:val="1A1A2E"/>
          <w:sz w:val="20"/>
          <w:szCs w:val="20"/>
        </w:rPr>
        <w:t xml:space="preserve">Total estimated royalties</w:t>
      </w:r>
      <w:r>
        <w:rPr>
          <w:rFonts w:ascii="Arial" w:cs="Arial" w:eastAsia="Arial" w:hAnsi="Arial"/>
          <w:color w:val="1A1A2E"/>
          <w:sz w:val="20"/>
          <w:szCs w:val="20"/>
        </w:rPr>
        <w:t xml:space="preserve"> — last 12 months, prominent display</w:t>
      </w:r>
    </w:p>
    <w:p>
      <w:pPr>
        <w:pStyle w:val="ListParagraph"/>
        <w:numPr>
          <w:ilvl w:val="0"/>
          <w:numId w:val="2"/>
        </w:numPr>
        <w:spacing w:before="0" w:after="100"/>
      </w:pPr>
      <w:r>
        <w:rPr>
          <w:rFonts w:ascii="Arial" w:cs="Arial" w:eastAsia="Arial" w:hAnsi="Arial"/>
          <w:b/>
          <w:bCs/>
          <w:color w:val="1A1A2E"/>
          <w:sz w:val="20"/>
          <w:szCs w:val="20"/>
        </w:rPr>
        <w:t xml:space="preserve">DSP breakdown</w:t>
      </w:r>
      <w:r>
        <w:rPr>
          <w:rFonts w:ascii="Arial" w:cs="Arial" w:eastAsia="Arial" w:hAnsi="Arial"/>
          <w:color w:val="1A1A2E"/>
          <w:sz w:val="20"/>
          <w:szCs w:val="20"/>
        </w:rPr>
        <w:t xml:space="preserve"> — each connected DSP with stream count + estimated earnings</w:t>
      </w:r>
    </w:p>
    <w:p>
      <w:pPr>
        <w:pStyle w:val="ListParagraph"/>
        <w:numPr>
          <w:ilvl w:val="0"/>
          <w:numId w:val="2"/>
        </w:numPr>
        <w:spacing w:before="0" w:after="100"/>
      </w:pPr>
      <w:r>
        <w:rPr>
          <w:rFonts w:ascii="Arial" w:cs="Arial" w:eastAsia="Arial" w:hAnsi="Arial"/>
          <w:b/>
          <w:bCs/>
          <w:color w:val="1A1A2E"/>
          <w:sz w:val="20"/>
          <w:szCs w:val="20"/>
        </w:rPr>
        <w:t xml:space="preserve">If a DSP is unavailable</w:t>
      </w:r>
      <w:r>
        <w:rPr>
          <w:rFonts w:ascii="Arial" w:cs="Arial" w:eastAsia="Arial" w:hAnsi="Arial"/>
          <w:color w:val="1A1A2E"/>
          <w:sz w:val="20"/>
          <w:szCs w:val="20"/>
        </w:rPr>
        <w:t xml:space="preserve"> — show error state for that DSP with a retry option. No placeholder figure.</w:t>
      </w:r>
    </w:p>
    <w:p>
      <w:pPr>
        <w:pStyle w:val="ListParagraph"/>
        <w:numPr>
          <w:ilvl w:val="0"/>
          <w:numId w:val="2"/>
        </w:numPr>
        <w:spacing w:before="0" w:after="100"/>
      </w:pPr>
      <w:r>
        <w:rPr>
          <w:rFonts w:ascii="Arial" w:cs="Arial" w:eastAsia="Arial" w:hAnsi="Arial"/>
          <w:b/>
          <w:bCs/>
          <w:color w:val="1A1A2E"/>
          <w:sz w:val="20"/>
          <w:szCs w:val="20"/>
        </w:rPr>
        <w:t xml:space="preserve">Disclaimer</w:t>
      </w:r>
      <w:r>
        <w:rPr>
          <w:rFonts w:ascii="Arial" w:cs="Arial" w:eastAsia="Arial" w:hAnsi="Arial"/>
          <w:color w:val="1A1A2E"/>
          <w:sz w:val="20"/>
          <w:szCs w:val="20"/>
        </w:rPr>
        <w:t xml:space="preserve"> — "Estimates based on verified published per-stream rates. Create an account to upload your statements and see your real gap."</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20"/>
              <w:bottom w:type="dxa" w:w="120"/>
              <w:right w:type="dxa" w:w="80"/>
            </w:tcMar>
          </w:tcPr>
          <w:p>
            <w:pPr>
              <w:jc w:val="center"/>
            </w:pPr>
            <w:r>
              <w:rPr>
                <w:rFonts w:ascii="Arial" w:cs="Arial" w:eastAsia="Arial" w:hAnsi="Arial"/>
                <w:b/>
                <w:bCs/>
                <w:color w:val="D97706"/>
                <w:sz w:val="18"/>
                <w:szCs w:val="18"/>
              </w:rPr>
              <w:t xml:space="preserve">⚠️</w:t>
            </w:r>
          </w:p>
        </w:tc>
        <w:tc>
          <w:tcPr>
            <w:tcW w:type="dxa" w:w="9160"/>
            <w:tcBorders>
              <w:top w:val="none" w:color="FFFFFF" w:sz="0"/>
              <w:left w:val="none" w:color="FFFFFF" w:sz="0"/>
              <w:bottom w:val="none" w:color="FFFFFF" w:sz="0"/>
              <w:right w:val="none" w:color="FFFFFF" w:sz="0"/>
            </w:tcBorders>
            <w:shd w:fill="FEF3C7" w:val="clear"/>
            <w:tcMar>
              <w:top w:type="dxa" w:w="120"/>
              <w:left w:type="dxa" w:w="120"/>
              <w:bottom w:type="dxa" w:w="120"/>
              <w:right w:type="dxa" w:w="120"/>
            </w:tcMar>
          </w:tcPr>
          <w:p>
            <w:pPr>
              <w:spacing w:after="0"/>
            </w:pPr>
            <w:r>
              <w:rPr>
                <w:rFonts w:ascii="Arial" w:cs="Arial" w:eastAsia="Arial" w:hAnsi="Arial"/>
                <w:color w:val="1A1A2E"/>
                <w:sz w:val="20"/>
                <w:szCs w:val="20"/>
              </w:rPr>
              <w:t xml:space="preserve">If any DSP API call fails, display a clear error for that DSP — do not substitute a placeholder or estimate. The Sniffer shows only data we can actually retrieve and verify. Errors are logged for the engineering team to investigate.</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Technical Notes</w:t>
      </w:r>
    </w:p>
    <w:p>
      <w:pPr>
        <w:pStyle w:val="ListParagraph"/>
        <w:numPr>
          <w:ilvl w:val="0"/>
          <w:numId w:val="2"/>
        </w:numPr>
        <w:spacing w:before="0" w:after="100"/>
      </w:pPr>
      <w:r>
        <w:rPr>
          <w:rFonts w:ascii="Arial" w:cs="Arial" w:eastAsia="Arial" w:hAnsi="Arial"/>
          <w:color w:val="1A1A2E"/>
          <w:sz w:val="20"/>
          <w:szCs w:val="20"/>
        </w:rPr>
        <w:t xml:space="preserve">Sniffer results stored in sniffer_results table linked to email on signup, enabling pre-populated dashboard at first login</w:t>
      </w:r>
    </w:p>
    <w:p>
      <w:pPr>
        <w:pStyle w:val="ListParagraph"/>
        <w:numPr>
          <w:ilvl w:val="0"/>
          <w:numId w:val="2"/>
        </w:numPr>
        <w:spacing w:before="0" w:after="100"/>
      </w:pPr>
      <w:r>
        <w:rPr>
          <w:rFonts w:ascii="Arial" w:cs="Arial" w:eastAsia="Arial" w:hAnsi="Arial"/>
          <w:color w:val="1A1A2E"/>
          <w:sz w:val="20"/>
          <w:szCs w:val="20"/>
        </w:rPr>
        <w:t xml:space="preserve">2 queries per IP per hour enforced at API route level</w:t>
      </w:r>
    </w:p>
    <w:p>
      <w:pPr>
        <w:pStyle w:val="ListParagraph"/>
        <w:numPr>
          <w:ilvl w:val="0"/>
          <w:numId w:val="2"/>
        </w:numPr>
        <w:spacing w:before="0" w:after="100"/>
      </w:pPr>
      <w:r>
        <w:rPr>
          <w:rFonts w:ascii="Arial" w:cs="Arial" w:eastAsia="Arial" w:hAnsi="Arial"/>
          <w:color w:val="1A1A2E"/>
          <w:sz w:val="20"/>
          <w:szCs w:val="20"/>
        </w:rPr>
        <w:t xml:space="preserve">If Spotify API is unavailable: show error, do not show partial results</w:t>
      </w:r>
    </w:p>
    <w:p>
      <w:r>
        <w:br w:type="page"/>
      </w:r>
    </w:p>
    <w:p>
      <w:pPr>
        <w:pStyle w:val="Heading2"/>
        <w:spacing w:before="360" w:after="160"/>
      </w:pPr>
      <w:r>
        <w:rPr>
          <w:rFonts w:ascii="Arial" w:cs="Arial" w:eastAsia="Arial" w:hAnsi="Arial"/>
          <w:b/>
          <w:bCs/>
          <w:color w:val="1A1A2E"/>
          <w:sz w:val="28"/>
          <w:szCs w:val="28"/>
        </w:rPr>
        <w:t xml:space="preserve">4.2 Rights Holder Onboarding &amp; Catalog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Access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All tiers (required on first login)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Trigger</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First login after account creation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Purpose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Collect core identity, connect Spotify to import catalog, optionally connect other DSPs for fuller oracle data.</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Step 1 — Account Creation</w:t>
      </w:r>
    </w:p>
    <w:p>
      <w:pPr>
        <w:pStyle w:val="ListParagraph"/>
        <w:numPr>
          <w:ilvl w:val="0"/>
          <w:numId w:val="2"/>
        </w:numPr>
        <w:spacing w:before="0" w:after="100"/>
      </w:pPr>
      <w:r>
        <w:rPr>
          <w:rFonts w:ascii="Arial" w:cs="Arial" w:eastAsia="Arial" w:hAnsi="Arial"/>
          <w:color w:val="1A1A2E"/>
          <w:sz w:val="20"/>
          <w:szCs w:val="20"/>
        </w:rPr>
        <w:t xml:space="preserve">Email + password signup via Supabase Auth</w:t>
      </w:r>
    </w:p>
    <w:p>
      <w:pPr>
        <w:pStyle w:val="ListParagraph"/>
        <w:numPr>
          <w:ilvl w:val="0"/>
          <w:numId w:val="2"/>
        </w:numPr>
        <w:spacing w:before="0" w:after="100"/>
      </w:pPr>
      <w:r>
        <w:rPr>
          <w:rFonts w:ascii="Arial" w:cs="Arial" w:eastAsia="Arial" w:hAnsi="Arial"/>
          <w:color w:val="1A1A2E"/>
          <w:sz w:val="20"/>
          <w:szCs w:val="20"/>
        </w:rPr>
        <w:t xml:space="preserve">AVAX C-Chain wallet created silently in background — no user action, not mentioned in UI, private key stored encrypted in Supabase Vault</w:t>
      </w:r>
    </w:p>
    <w:p>
      <w:pPr>
        <w:pStyle w:val="ListParagraph"/>
        <w:numPr>
          <w:ilvl w:val="0"/>
          <w:numId w:val="2"/>
        </w:numPr>
        <w:spacing w:before="0" w:after="100"/>
      </w:pPr>
      <w:r>
        <w:rPr>
          <w:rFonts w:ascii="Arial" w:cs="Arial" w:eastAsia="Arial" w:hAnsi="Arial"/>
          <w:color w:val="1A1A2E"/>
          <w:sz w:val="20"/>
          <w:szCs w:val="20"/>
        </w:rPr>
        <w:t xml:space="preserve">Email verification sent</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Step 2 — Profile</w:t>
      </w:r>
    </w:p>
    <w:p>
      <w:pPr>
        <w:pStyle w:val="ListParagraph"/>
        <w:numPr>
          <w:ilvl w:val="0"/>
          <w:numId w:val="2"/>
        </w:numPr>
        <w:spacing w:before="0" w:after="100"/>
      </w:pPr>
      <w:r>
        <w:rPr>
          <w:rFonts w:ascii="Arial" w:cs="Arial" w:eastAsia="Arial" w:hAnsi="Arial"/>
          <w:b/>
          <w:bCs/>
          <w:color w:val="1A1A2E"/>
          <w:sz w:val="20"/>
          <w:szCs w:val="20"/>
        </w:rPr>
        <w:t xml:space="preserve">Required: </w:t>
      </w:r>
      <w:r>
        <w:rPr>
          <w:rFonts w:ascii="Arial" w:cs="Arial" w:eastAsia="Arial" w:hAnsi="Arial"/>
          <w:color w:val="1A1A2E"/>
          <w:sz w:val="20"/>
          <w:szCs w:val="20"/>
        </w:rPr>
        <w:t xml:space="preserve">Stage name / artist name, primary country (Nigeria, Kenya, South Africa, Brazil, Mexico, Other), role (Artist, Songwriter, Producer, Publisher, Manager/Label)</w:t>
      </w:r>
    </w:p>
    <w:p>
      <w:pPr>
        <w:pStyle w:val="ListParagraph"/>
        <w:numPr>
          <w:ilvl w:val="0"/>
          <w:numId w:val="2"/>
        </w:numPr>
        <w:spacing w:before="0" w:after="100"/>
      </w:pPr>
      <w:r>
        <w:rPr>
          <w:rFonts w:ascii="Arial" w:cs="Arial" w:eastAsia="Arial" w:hAnsi="Arial"/>
          <w:b/>
          <w:bCs/>
          <w:color w:val="1A1A2E"/>
          <w:sz w:val="20"/>
          <w:szCs w:val="20"/>
        </w:rPr>
        <w:t xml:space="preserve">Optional: </w:t>
      </w:r>
      <w:r>
        <w:rPr>
          <w:rFonts w:ascii="Arial" w:cs="Arial" w:eastAsia="Arial" w:hAnsi="Arial"/>
          <w:color w:val="1A1A2E"/>
          <w:sz w:val="20"/>
          <w:szCs w:val="20"/>
        </w:rPr>
        <w:t xml:space="preserve">Genre tags, distributor (DistroKid, TuneCore, Amuse, CD Baby, Other, None)</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Step 3 — Connect Spotify (Primary Catalog Source)</w:t>
      </w:r>
    </w:p>
    <w:p>
      <w:pPr>
        <w:pStyle w:val="ListParagraph"/>
        <w:numPr>
          <w:ilvl w:val="0"/>
          <w:numId w:val="2"/>
        </w:numPr>
        <w:spacing w:before="0" w:after="100"/>
      </w:pPr>
      <w:r>
        <w:rPr>
          <w:rFonts w:ascii="Arial" w:cs="Arial" w:eastAsia="Arial" w:hAnsi="Arial"/>
          <w:color w:val="1A1A2E"/>
          <w:sz w:val="20"/>
          <w:szCs w:val="20"/>
        </w:rPr>
        <w:t xml:space="preserve">"Connect your Spotify artist profile to import your catalog automatically"</w:t>
      </w:r>
    </w:p>
    <w:p>
      <w:pPr>
        <w:pStyle w:val="ListParagraph"/>
        <w:numPr>
          <w:ilvl w:val="0"/>
          <w:numId w:val="2"/>
        </w:numPr>
        <w:spacing w:before="0" w:after="100"/>
      </w:pPr>
      <w:r>
        <w:rPr>
          <w:rFonts w:ascii="Arial" w:cs="Arial" w:eastAsia="Arial" w:hAnsi="Arial"/>
          <w:color w:val="1A1A2E"/>
          <w:sz w:val="20"/>
          <w:szCs w:val="20"/>
        </w:rPr>
        <w:t xml:space="preserve">Spotify OAuth → Artist URI stored → full catalog pulled → ISRCs extracted and stored for all tracks</w:t>
      </w:r>
    </w:p>
    <w:p>
      <w:pPr>
        <w:pStyle w:val="ListParagraph"/>
        <w:numPr>
          <w:ilvl w:val="0"/>
          <w:numId w:val="2"/>
        </w:numPr>
        <w:spacing w:before="0" w:after="100"/>
      </w:pPr>
      <w:r>
        <w:rPr>
          <w:rFonts w:ascii="Arial" w:cs="Arial" w:eastAsia="Arial" w:hAnsi="Arial"/>
          <w:color w:val="1A1A2E"/>
          <w:sz w:val="20"/>
          <w:szCs w:val="20"/>
        </w:rPr>
        <w:t xml:space="preserve">If skipped: user can manually add tracks and ISRCs from the dashboard later</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Step 4 — Connect Additional DSPs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DSP</w:t>
            </w:r>
          </w:p>
        </w:tc>
        <w:tc>
          <w:tcPr>
            <w:tcW w:type="dxa" w:w="468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Connection Method</w:t>
            </w:r>
          </w:p>
        </w:tc>
        <w:tc>
          <w:tcPr>
            <w:tcW w:type="dxa" w:w="23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Data Unlocked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Apple Music</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Apple Music for Artists OAuth</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Stream counts + earnings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YouTube</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YouTube Studio OAuth</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View counts + Content ID revenue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Amazon Music</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Amazon Music for Artists OAuth</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Stream counts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Tidal</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Tidal for Artists OAuth</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Stream counts</w:t>
            </w:r>
          </w:p>
        </w:tc>
      </w:tr>
    </w:tbl>
    <w:p>
      <w:pPr>
        <w:spacing w:before="0" w:after="120"/>
      </w:pPr>
      <w:r>
        <w:t xml:space="preserve"/>
      </w:r>
    </w:p>
    <w:p>
      <w:pPr>
        <w:pStyle w:val="ListParagraph"/>
        <w:numPr>
          <w:ilvl w:val="0"/>
          <w:numId w:val="2"/>
        </w:numPr>
        <w:spacing w:before="0" w:after="100"/>
      </w:pPr>
      <w:r>
        <w:rPr>
          <w:rFonts w:ascii="Arial" w:cs="Arial" w:eastAsia="Arial" w:hAnsi="Arial"/>
          <w:color w:val="1A1A2E"/>
          <w:sz w:val="20"/>
          <w:szCs w:val="20"/>
        </w:rPr>
        <w:t xml:space="preserve">Each DSP shown as a card with a "Connect" button only — no placeholder figures beside unconnected DSPs</w:t>
      </w:r>
    </w:p>
    <w:p>
      <w:pPr>
        <w:pStyle w:val="ListParagraph"/>
        <w:numPr>
          <w:ilvl w:val="0"/>
          <w:numId w:val="2"/>
        </w:numPr>
        <w:spacing w:before="0" w:after="100"/>
      </w:pPr>
      <w:r>
        <w:rPr>
          <w:rFonts w:ascii="Arial" w:cs="Arial" w:eastAsia="Arial" w:hAnsi="Arial"/>
          <w:color w:val="1A1A2E"/>
          <w:sz w:val="20"/>
          <w:szCs w:val="20"/>
        </w:rPr>
        <w:t xml:space="preserve">Connected DSPs show a verified checkmark and connection date</w:t>
      </w:r>
    </w:p>
    <w:p>
      <w:pPr>
        <w:pStyle w:val="ListParagraph"/>
        <w:numPr>
          <w:ilvl w:val="0"/>
          <w:numId w:val="2"/>
        </w:numPr>
        <w:spacing w:before="0" w:after="100"/>
      </w:pPr>
      <w:r>
        <w:rPr>
          <w:rFonts w:ascii="Arial" w:cs="Arial" w:eastAsia="Arial" w:hAnsi="Arial"/>
          <w:color w:val="1A1A2E"/>
          <w:sz w:val="20"/>
          <w:szCs w:val="20"/>
        </w:rPr>
        <w:t xml:space="preserve">All optional — user can connect later from Settings</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Step 5 — Onboarding Complete</w:t>
      </w:r>
    </w:p>
    <w:p>
      <w:pPr>
        <w:pStyle w:val="ListParagraph"/>
        <w:numPr>
          <w:ilvl w:val="0"/>
          <w:numId w:val="2"/>
        </w:numPr>
        <w:spacing w:before="0" w:after="100"/>
      </w:pPr>
      <w:r>
        <w:rPr>
          <w:rFonts w:ascii="Arial" w:cs="Arial" w:eastAsia="Arial" w:hAnsi="Arial"/>
          <w:color w:val="1A1A2E"/>
          <w:sz w:val="20"/>
          <w:szCs w:val="20"/>
        </w:rPr>
        <w:t xml:space="preserve">Summary: "Your catalog is ready — X tracks imported across Y platforms"</w:t>
      </w:r>
    </w:p>
    <w:p>
      <w:pPr>
        <w:pStyle w:val="ListParagraph"/>
        <w:numPr>
          <w:ilvl w:val="0"/>
          <w:numId w:val="2"/>
        </w:numPr>
        <w:spacing w:before="0" w:after="100"/>
      </w:pPr>
      <w:r>
        <w:rPr>
          <w:rFonts w:ascii="Arial" w:cs="Arial" w:eastAsia="Arial" w:hAnsi="Arial"/>
          <w:color w:val="1A1A2E"/>
          <w:sz w:val="20"/>
          <w:szCs w:val="20"/>
        </w:rPr>
        <w:t xml:space="preserve">CTA: "Go to my dashboard"</w:t>
      </w:r>
    </w:p>
    <w:p>
      <w:pPr>
        <w:pStyle w:val="ListParagraph"/>
        <w:numPr>
          <w:ilvl w:val="0"/>
          <w:numId w:val="2"/>
        </w:numPr>
        <w:spacing w:before="0" w:after="100"/>
      </w:pPr>
      <w:r>
        <w:rPr>
          <w:rFonts w:ascii="Arial" w:cs="Arial" w:eastAsia="Arial" w:hAnsi="Arial"/>
          <w:color w:val="1A1A2E"/>
          <w:sz w:val="20"/>
          <w:szCs w:val="20"/>
        </w:rPr>
        <w:t xml:space="preserve">If Sniffer was used pre-signup: dashboard pre-populates with Sniffer results immediately</w:t>
      </w:r>
    </w:p>
    <w:p>
      <w:r>
        <w:br w:type="page"/>
      </w:r>
    </w:p>
    <w:p>
      <w:pPr>
        <w:pStyle w:val="Heading2"/>
        <w:spacing w:before="360" w:after="160"/>
      </w:pPr>
      <w:r>
        <w:rPr>
          <w:rFonts w:ascii="Arial" w:cs="Arial" w:eastAsia="Arial" w:hAnsi="Arial"/>
          <w:b/>
          <w:bCs/>
          <w:color w:val="1A1A2E"/>
          <w:sz w:val="28"/>
          <w:szCs w:val="28"/>
        </w:rPr>
        <w:t xml:space="preserve">4.3 Royalty Dashboard — Oracle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Access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All tiers (Basic: summary cards only; Basic+: full track-level breakdown)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Data source</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DSP APIs (stream counts) × verified per-stream rates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Refresh</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Daily background job per rights holder</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Attestation</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Daily merkle root written to AVAX C-Chain — displayed to users as "Verified"</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Oracle Calculation Logic</w:t>
      </w:r>
    </w:p>
    <w:p>
      <w:pPr>
        <w:pStyle w:val="ListParagraph"/>
        <w:numPr>
          <w:ilvl w:val="0"/>
          <w:numId w:val="3"/>
        </w:numPr>
        <w:spacing w:before="0" w:after="100"/>
      </w:pPr>
      <w:r>
        <w:rPr>
          <w:rFonts w:ascii="Arial" w:cs="Arial" w:eastAsia="Arial" w:hAnsi="Arial"/>
          <w:color w:val="1A1A2E"/>
          <w:sz w:val="20"/>
          <w:szCs w:val="20"/>
        </w:rPr>
        <w:t xml:space="preserve">Fetch current stream count from DSP API per track ISRC</w:t>
      </w:r>
    </w:p>
    <w:p>
      <w:pPr>
        <w:pStyle w:val="ListParagraph"/>
        <w:numPr>
          <w:ilvl w:val="0"/>
          <w:numId w:val="3"/>
        </w:numPr>
        <w:spacing w:before="0" w:after="100"/>
      </w:pPr>
      <w:r>
        <w:rPr>
          <w:rFonts w:ascii="Arial" w:cs="Arial" w:eastAsia="Arial" w:hAnsi="Arial"/>
          <w:color w:val="1A1A2E"/>
          <w:sz w:val="20"/>
          <w:szCs w:val="20"/>
        </w:rPr>
        <w:t xml:space="preserve">Calculate period delta: current snapshot minus previous snapshot</w:t>
      </w:r>
    </w:p>
    <w:p>
      <w:pPr>
        <w:pStyle w:val="ListParagraph"/>
        <w:numPr>
          <w:ilvl w:val="0"/>
          <w:numId w:val="3"/>
        </w:numPr>
        <w:spacing w:before="0" w:after="100"/>
      </w:pPr>
      <w:r>
        <w:rPr>
          <w:rFonts w:ascii="Arial" w:cs="Arial" w:eastAsia="Arial" w:hAnsi="Arial"/>
          <w:color w:val="1A1A2E"/>
          <w:sz w:val="20"/>
          <w:szCs w:val="20"/>
        </w:rPr>
        <w:t xml:space="preserve">Apply verified per-stream rate for the DSP and rights holder's territory</w:t>
      </w:r>
    </w:p>
    <w:p>
      <w:pPr>
        <w:pStyle w:val="ListParagraph"/>
        <w:numPr>
          <w:ilvl w:val="0"/>
          <w:numId w:val="3"/>
        </w:numPr>
        <w:spacing w:before="0" w:after="100"/>
      </w:pPr>
      <w:r>
        <w:rPr>
          <w:rFonts w:ascii="Arial" w:cs="Arial" w:eastAsia="Arial" w:hAnsi="Arial"/>
          <w:color w:val="1A1A2E"/>
          <w:sz w:val="20"/>
          <w:szCs w:val="20"/>
        </w:rPr>
        <w:t xml:space="preserve">Sum across all tracks and DSPs → total estimated earnings for the period</w:t>
      </w:r>
    </w:p>
    <w:p>
      <w:pPr>
        <w:pStyle w:val="ListParagraph"/>
        <w:numPr>
          <w:ilvl w:val="0"/>
          <w:numId w:val="3"/>
        </w:numPr>
        <w:spacing w:before="0" w:after="100"/>
      </w:pPr>
      <w:r>
        <w:rPr>
          <w:rFonts w:ascii="Arial" w:cs="Arial" w:eastAsia="Arial" w:hAnsi="Arial"/>
          <w:color w:val="1A1A2E"/>
          <w:sz w:val="20"/>
          <w:szCs w:val="20"/>
        </w:rPr>
        <w:t xml:space="preserve">Once daily: compute merkle root of all data, write to AVAX C-Chain, mark records as verified</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Summary Cards — All Tiers</w:t>
      </w:r>
    </w:p>
    <w:p>
      <w:pPr>
        <w:pStyle w:val="ListParagraph"/>
        <w:numPr>
          <w:ilvl w:val="0"/>
          <w:numId w:val="2"/>
        </w:numPr>
        <w:spacing w:before="0" w:after="100"/>
      </w:pPr>
      <w:r>
        <w:rPr>
          <w:rFonts w:ascii="Arial" w:cs="Arial" w:eastAsia="Arial" w:hAnsi="Arial"/>
          <w:b/>
          <w:bCs/>
          <w:color w:val="1A1A2E"/>
          <w:sz w:val="20"/>
          <w:szCs w:val="20"/>
        </w:rPr>
        <w:t xml:space="preserve">Total Estimated Earnings</w:t>
      </w:r>
      <w:r>
        <w:rPr>
          <w:rFonts w:ascii="Arial" w:cs="Arial" w:eastAsia="Arial" w:hAnsi="Arial"/>
          <w:color w:val="1A1A2E"/>
          <w:sz w:val="20"/>
          <w:szCs w:val="20"/>
        </w:rPr>
        <w:t xml:space="preserve"> — oracle estimate, current calendar month, "Verified" badge</w:t>
      </w:r>
    </w:p>
    <w:p>
      <w:pPr>
        <w:pStyle w:val="ListParagraph"/>
        <w:numPr>
          <w:ilvl w:val="0"/>
          <w:numId w:val="2"/>
        </w:numPr>
        <w:spacing w:before="0" w:after="100"/>
      </w:pPr>
      <w:r>
        <w:rPr>
          <w:rFonts w:ascii="Arial" w:cs="Arial" w:eastAsia="Arial" w:hAnsi="Arial"/>
          <w:b/>
          <w:bCs/>
          <w:color w:val="1A1A2E"/>
          <w:sz w:val="20"/>
          <w:szCs w:val="20"/>
        </w:rPr>
        <w:t xml:space="preserve">Last 12 Months</w:t>
      </w:r>
      <w:r>
        <w:rPr>
          <w:rFonts w:ascii="Arial" w:cs="Arial" w:eastAsia="Arial" w:hAnsi="Arial"/>
          <w:color w:val="1A1A2E"/>
          <w:sz w:val="20"/>
          <w:szCs w:val="20"/>
        </w:rPr>
        <w:t xml:space="preserve"> — cumulative oracle estimate</w:t>
      </w:r>
    </w:p>
    <w:p>
      <w:pPr>
        <w:pStyle w:val="ListParagraph"/>
        <w:numPr>
          <w:ilvl w:val="0"/>
          <w:numId w:val="2"/>
        </w:numPr>
        <w:spacing w:before="0" w:after="100"/>
      </w:pPr>
      <w:r>
        <w:rPr>
          <w:rFonts w:ascii="Arial" w:cs="Arial" w:eastAsia="Arial" w:hAnsi="Arial"/>
          <w:b/>
          <w:bCs/>
          <w:color w:val="1A1A2E"/>
          <w:sz w:val="20"/>
          <w:szCs w:val="20"/>
        </w:rPr>
        <w:t xml:space="preserve">Top Earning Track</w:t>
      </w:r>
      <w:r>
        <w:rPr>
          <w:rFonts w:ascii="Arial" w:cs="Arial" w:eastAsia="Arial" w:hAnsi="Arial"/>
          <w:color w:val="1A1A2E"/>
          <w:sz w:val="20"/>
          <w:szCs w:val="20"/>
        </w:rPr>
        <w:t xml:space="preserve"> — track name + estimated earnings this month</w:t>
      </w:r>
    </w:p>
    <w:p>
      <w:pPr>
        <w:pStyle w:val="ListParagraph"/>
        <w:numPr>
          <w:ilvl w:val="0"/>
          <w:numId w:val="2"/>
        </w:numPr>
        <w:spacing w:before="0" w:after="100"/>
      </w:pPr>
      <w:r>
        <w:rPr>
          <w:rFonts w:ascii="Arial" w:cs="Arial" w:eastAsia="Arial" w:hAnsi="Arial"/>
          <w:b/>
          <w:bCs/>
          <w:color w:val="1A1A2E"/>
          <w:sz w:val="20"/>
          <w:szCs w:val="20"/>
        </w:rPr>
        <w:t xml:space="preserve">Top Earning Platform</w:t>
      </w:r>
      <w:r>
        <w:rPr>
          <w:rFonts w:ascii="Arial" w:cs="Arial" w:eastAsia="Arial" w:hAnsi="Arial"/>
          <w:color w:val="1A1A2E"/>
          <w:sz w:val="20"/>
          <w:szCs w:val="20"/>
        </w:rPr>
        <w:t xml:space="preserve"> — DSP name + percentage of total</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Full Breakdown — Basic Tier and Above</w:t>
      </w:r>
    </w:p>
    <w:p>
      <w:pPr>
        <w:pStyle w:val="ListParagraph"/>
        <w:numPr>
          <w:ilvl w:val="0"/>
          <w:numId w:val="2"/>
        </w:numPr>
        <w:spacing w:before="0" w:after="100"/>
      </w:pPr>
      <w:r>
        <w:rPr>
          <w:rFonts w:ascii="Arial" w:cs="Arial" w:eastAsia="Arial" w:hAnsi="Arial"/>
          <w:b/>
          <w:bCs/>
          <w:color w:val="1A1A2E"/>
          <w:sz w:val="20"/>
          <w:szCs w:val="20"/>
        </w:rPr>
        <w:t xml:space="preserve">Monthly earnings chart</w:t>
      </w:r>
      <w:r>
        <w:rPr>
          <w:rFonts w:ascii="Arial" w:cs="Arial" w:eastAsia="Arial" w:hAnsi="Arial"/>
          <w:color w:val="1A1A2E"/>
          <w:sz w:val="20"/>
          <w:szCs w:val="20"/>
        </w:rPr>
        <w:t xml:space="preserve"> — line chart, last 12 months</w:t>
      </w:r>
    </w:p>
    <w:p>
      <w:pPr>
        <w:pStyle w:val="ListParagraph"/>
        <w:numPr>
          <w:ilvl w:val="0"/>
          <w:numId w:val="2"/>
        </w:numPr>
        <w:spacing w:before="0" w:after="100"/>
      </w:pPr>
      <w:r>
        <w:rPr>
          <w:rFonts w:ascii="Arial" w:cs="Arial" w:eastAsia="Arial" w:hAnsi="Arial"/>
          <w:b/>
          <w:bCs/>
          <w:color w:val="1A1A2E"/>
          <w:sz w:val="20"/>
          <w:szCs w:val="20"/>
        </w:rPr>
        <w:t xml:space="preserve">Platform breakdown</w:t>
      </w:r>
      <w:r>
        <w:rPr>
          <w:rFonts w:ascii="Arial" w:cs="Arial" w:eastAsia="Arial" w:hAnsi="Arial"/>
          <w:color w:val="1A1A2E"/>
          <w:sz w:val="20"/>
          <w:szCs w:val="20"/>
        </w:rPr>
        <w:t xml:space="preserve"> — donut chart, earnings by DSP</w:t>
      </w:r>
    </w:p>
    <w:p>
      <w:pPr>
        <w:pStyle w:val="ListParagraph"/>
        <w:numPr>
          <w:ilvl w:val="0"/>
          <w:numId w:val="2"/>
        </w:numPr>
        <w:spacing w:before="0" w:after="100"/>
      </w:pPr>
      <w:r>
        <w:rPr>
          <w:rFonts w:ascii="Arial" w:cs="Arial" w:eastAsia="Arial" w:hAnsi="Arial"/>
          <w:b/>
          <w:bCs/>
          <w:color w:val="1A1A2E"/>
          <w:sz w:val="20"/>
          <w:szCs w:val="20"/>
        </w:rPr>
        <w:t xml:space="preserve">Track-level table</w:t>
      </w:r>
      <w:r>
        <w:rPr>
          <w:rFonts w:ascii="Arial" w:cs="Arial" w:eastAsia="Arial" w:hAnsi="Arial"/>
          <w:color w:val="1A1A2E"/>
          <w:sz w:val="20"/>
          <w:szCs w:val="20"/>
        </w:rPr>
        <w:t xml:space="preserve"> — title, ISRC, streams per DSP, estimated earnings per DSP, total</w:t>
      </w:r>
    </w:p>
    <w:p>
      <w:pPr>
        <w:pStyle w:val="ListParagraph"/>
        <w:numPr>
          <w:ilvl w:val="0"/>
          <w:numId w:val="2"/>
        </w:numPr>
        <w:spacing w:before="0" w:after="100"/>
      </w:pPr>
      <w:r>
        <w:rPr>
          <w:rFonts w:ascii="Arial" w:cs="Arial" w:eastAsia="Arial" w:hAnsi="Arial"/>
          <w:b/>
          <w:bCs/>
          <w:color w:val="1A1A2E"/>
          <w:sz w:val="20"/>
          <w:szCs w:val="20"/>
        </w:rPr>
        <w:t xml:space="preserve">Period selector</w:t>
      </w:r>
      <w:r>
        <w:rPr>
          <w:rFonts w:ascii="Arial" w:cs="Arial" w:eastAsia="Arial" w:hAnsi="Arial"/>
          <w:color w:val="1A1A2E"/>
          <w:sz w:val="20"/>
          <w:szCs w:val="20"/>
        </w:rPr>
        <w:t xml:space="preserve"> — this month / last month / last 3 months / last 12 months / custom</w:t>
      </w:r>
    </w:p>
    <w:p>
      <w:pPr>
        <w:pStyle w:val="ListParagraph"/>
        <w:numPr>
          <w:ilvl w:val="0"/>
          <w:numId w:val="2"/>
        </w:numPr>
        <w:spacing w:before="0" w:after="100"/>
      </w:pPr>
      <w:r>
        <w:rPr>
          <w:rFonts w:ascii="Arial" w:cs="Arial" w:eastAsia="Arial" w:hAnsi="Arial"/>
          <w:b/>
          <w:bCs/>
          <w:color w:val="1A1A2E"/>
          <w:sz w:val="20"/>
          <w:szCs w:val="20"/>
        </w:rPr>
        <w:t xml:space="preserve">DSP filter</w:t>
      </w:r>
      <w:r>
        <w:rPr>
          <w:rFonts w:ascii="Arial" w:cs="Arial" w:eastAsia="Arial" w:hAnsi="Arial"/>
          <w:color w:val="1A1A2E"/>
          <w:sz w:val="20"/>
          <w:szCs w:val="20"/>
        </w:rPr>
        <w:t xml:space="preserve"> — narrow table to specific platforms</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DSP Coverage &amp;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40"/>
        <w:gridCol w:w="3780"/>
      </w:tblGrid>
      <w:tr>
        <w:tc>
          <w:tcPr>
            <w:tcW w:type="dxa" w:w="23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DSP</w:t>
            </w:r>
          </w:p>
        </w:tc>
        <w:tc>
          <w:tcPr>
            <w:tcW w:type="dxa" w:w="32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Stream Count Access</w:t>
            </w:r>
          </w:p>
        </w:tc>
        <w:tc>
          <w:tcPr>
            <w:tcW w:type="dxa" w:w="378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If Not Connected or Error</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Spotify</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Public API, no artist auth</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Error state if API fails — no placeholder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YouTube</w:t>
            </w:r>
          </w:p>
        </w:tc>
        <w:tc>
          <w:tcPr>
            <w:tcW w:type="dxa" w:w="32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YouTube Data API (public for views)</w:t>
            </w:r>
          </w:p>
        </w:tc>
        <w:tc>
          <w:tcPr>
            <w:tcW w:type="dxa" w:w="3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"Connect YouTube" — no figures shown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Apple Music</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Apple Music for Artists OAuth required</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"Connect Apple Music" — no figures shown</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Amazon Music</w:t>
            </w:r>
          </w:p>
        </w:tc>
        <w:tc>
          <w:tcPr>
            <w:tcW w:type="dxa" w:w="32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Amazon for Artists OAuth required</w:t>
            </w:r>
          </w:p>
        </w:tc>
        <w:tc>
          <w:tcPr>
            <w:tcW w:type="dxa" w:w="3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"Connect Amazon Music" — no figures shown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Tidal</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Tidal for Artists OAuth required</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"Connect Tidal" — no figures shown</w:t>
            </w:r>
          </w:p>
        </w:tc>
      </w:tr>
    </w:tbl>
    <w:p>
      <w:r>
        <w:br w:type="page"/>
      </w:r>
    </w:p>
    <w:p>
      <w:pPr>
        <w:pStyle w:val="Heading2"/>
        <w:spacing w:before="360" w:after="160"/>
      </w:pPr>
      <w:r>
        <w:rPr>
          <w:rFonts w:ascii="Arial" w:cs="Arial" w:eastAsia="Arial" w:hAnsi="Arial"/>
          <w:b/>
          <w:bCs/>
          <w:color w:val="1A1A2E"/>
          <w:sz w:val="28"/>
          <w:szCs w:val="28"/>
        </w:rPr>
        <w:t xml:space="preserve">4.4 Royalty Dashboard — Actuals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Access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Basic tier and above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Data source</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Rights holder-uploaded CSV from their distributor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Purpose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Import actual paid royalties and compare against oracle estimates to surface missing money.</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CSV Upload Flow</w:t>
      </w:r>
    </w:p>
    <w:p>
      <w:pPr>
        <w:pStyle w:val="ListParagraph"/>
        <w:numPr>
          <w:ilvl w:val="0"/>
          <w:numId w:val="3"/>
        </w:numPr>
        <w:spacing w:before="0" w:after="100"/>
      </w:pPr>
      <w:r>
        <w:rPr>
          <w:rFonts w:ascii="Arial" w:cs="Arial" w:eastAsia="Arial" w:hAnsi="Arial"/>
          <w:color w:val="1A1A2E"/>
          <w:sz w:val="20"/>
          <w:szCs w:val="20"/>
        </w:rPr>
        <w:t xml:space="preserve">Navigate to Royalties → Actuals tab</w:t>
      </w:r>
    </w:p>
    <w:p>
      <w:pPr>
        <w:pStyle w:val="ListParagraph"/>
        <w:numPr>
          <w:ilvl w:val="0"/>
          <w:numId w:val="3"/>
        </w:numPr>
        <w:spacing w:before="0" w:after="100"/>
      </w:pPr>
      <w:r>
        <w:rPr>
          <w:rFonts w:ascii="Arial" w:cs="Arial" w:eastAsia="Arial" w:hAnsi="Arial"/>
          <w:color w:val="1A1A2E"/>
          <w:sz w:val="20"/>
          <w:szCs w:val="20"/>
        </w:rPr>
        <w:t xml:space="preserve">"Upload Statement" — file picker accepts .csv and .xlsx</w:t>
      </w:r>
    </w:p>
    <w:p>
      <w:pPr>
        <w:pStyle w:val="ListParagraph"/>
        <w:numPr>
          <w:ilvl w:val="0"/>
          <w:numId w:val="3"/>
        </w:numPr>
        <w:spacing w:before="0" w:after="100"/>
      </w:pPr>
      <w:r>
        <w:rPr>
          <w:rFonts w:ascii="Arial" w:cs="Arial" w:eastAsia="Arial" w:hAnsi="Arial"/>
          <w:color w:val="1A1A2E"/>
          <w:sz w:val="20"/>
          <w:szCs w:val="20"/>
        </w:rPr>
        <w:t xml:space="preserve">Select distributor from dropdown (DistroKid, TuneCore, Amuse, CD Baby, Other)</w:t>
      </w:r>
    </w:p>
    <w:p>
      <w:pPr>
        <w:pStyle w:val="ListParagraph"/>
        <w:numPr>
          <w:ilvl w:val="0"/>
          <w:numId w:val="3"/>
        </w:numPr>
        <w:spacing w:before="0" w:after="100"/>
      </w:pPr>
      <w:r>
        <w:rPr>
          <w:rFonts w:ascii="Arial" w:cs="Arial" w:eastAsia="Arial" w:hAnsi="Arial"/>
          <w:color w:val="1A1A2E"/>
          <w:sz w:val="20"/>
          <w:szCs w:val="20"/>
        </w:rPr>
        <w:t xml:space="preserve">File parsed using distributor-specific column mappings</w:t>
      </w:r>
    </w:p>
    <w:p>
      <w:pPr>
        <w:pStyle w:val="ListParagraph"/>
        <w:numPr>
          <w:ilvl w:val="0"/>
          <w:numId w:val="3"/>
        </w:numPr>
        <w:spacing w:before="0" w:after="100"/>
      </w:pPr>
      <w:r>
        <w:rPr>
          <w:rFonts w:ascii="Arial" w:cs="Arial" w:eastAsia="Arial" w:hAnsi="Arial"/>
          <w:color w:val="1A1A2E"/>
          <w:sz w:val="20"/>
          <w:szCs w:val="20"/>
        </w:rPr>
        <w:t xml:space="preserve">Preview table shown for review before confirming</w:t>
      </w:r>
    </w:p>
    <w:p>
      <w:pPr>
        <w:pStyle w:val="ListParagraph"/>
        <w:numPr>
          <w:ilvl w:val="0"/>
          <w:numId w:val="3"/>
        </w:numPr>
        <w:spacing w:before="0" w:after="100"/>
      </w:pPr>
      <w:r>
        <w:rPr>
          <w:rFonts w:ascii="Arial" w:cs="Arial" w:eastAsia="Arial" w:hAnsi="Arial"/>
          <w:color w:val="1A1A2E"/>
          <w:sz w:val="20"/>
          <w:szCs w:val="20"/>
        </w:rPr>
        <w:t xml:space="preserve">Confirmed → saved to royalty_statements table</w:t>
      </w:r>
    </w:p>
    <w:p>
      <w:pPr>
        <w:pStyle w:val="ListParagraph"/>
        <w:numPr>
          <w:ilvl w:val="0"/>
          <w:numId w:val="3"/>
        </w:numPr>
        <w:spacing w:before="0" w:after="100"/>
      </w:pPr>
      <w:r>
        <w:rPr>
          <w:rFonts w:ascii="Arial" w:cs="Arial" w:eastAsia="Arial" w:hAnsi="Arial"/>
          <w:color w:val="1A1A2E"/>
          <w:sz w:val="20"/>
          <w:szCs w:val="20"/>
        </w:rPr>
        <w:t xml:space="preserve">Missing money analysis runs automatically against oracle for the same period</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Missing Money Detection</w:t>
      </w:r>
    </w:p>
    <w:p>
      <w:pPr>
        <w:pStyle w:val="ListParagraph"/>
        <w:numPr>
          <w:ilvl w:val="0"/>
          <w:numId w:val="3"/>
        </w:numPr>
        <w:spacing w:before="0" w:after="100"/>
      </w:pPr>
      <w:r>
        <w:rPr>
          <w:rFonts w:ascii="Arial" w:cs="Arial" w:eastAsia="Arial" w:hAnsi="Arial"/>
          <w:color w:val="1A1A2E"/>
          <w:sz w:val="20"/>
          <w:szCs w:val="20"/>
        </w:rPr>
        <w:t xml:space="preserve">Match all tracks in statement by ISRC</w:t>
      </w:r>
    </w:p>
    <w:p>
      <w:pPr>
        <w:pStyle w:val="ListParagraph"/>
        <w:numPr>
          <w:ilvl w:val="0"/>
          <w:numId w:val="3"/>
        </w:numPr>
        <w:spacing w:before="0" w:after="100"/>
      </w:pPr>
      <w:r>
        <w:rPr>
          <w:rFonts w:ascii="Arial" w:cs="Arial" w:eastAsia="Arial" w:hAnsi="Arial"/>
          <w:color w:val="1A1A2E"/>
          <w:sz w:val="20"/>
          <w:szCs w:val="20"/>
        </w:rPr>
        <w:t xml:space="preserve">Pull oracle estimate for same track and same period</w:t>
      </w:r>
    </w:p>
    <w:p>
      <w:pPr>
        <w:pStyle w:val="ListParagraph"/>
        <w:numPr>
          <w:ilvl w:val="0"/>
          <w:numId w:val="3"/>
        </w:numPr>
        <w:spacing w:before="0" w:after="100"/>
      </w:pPr>
      <w:r>
        <w:rPr>
          <w:rFonts w:ascii="Arial" w:cs="Arial" w:eastAsia="Arial" w:hAnsi="Arial"/>
          <w:color w:val="1A1A2E"/>
          <w:sz w:val="20"/>
          <w:szCs w:val="20"/>
        </w:rPr>
        <w:t xml:space="preserve">Calculate delta: oracle estimate minus reported payout</w:t>
      </w:r>
    </w:p>
    <w:p>
      <w:pPr>
        <w:pStyle w:val="ListParagraph"/>
        <w:numPr>
          <w:ilvl w:val="0"/>
          <w:numId w:val="3"/>
        </w:numPr>
        <w:spacing w:before="0" w:after="100"/>
      </w:pPr>
      <w:r>
        <w:rPr>
          <w:rFonts w:ascii="Arial" w:cs="Arial" w:eastAsia="Arial" w:hAnsi="Arial"/>
          <w:color w:val="1A1A2E"/>
          <w:sz w:val="20"/>
          <w:szCs w:val="20"/>
        </w:rPr>
        <w:t xml:space="preserve">Flag tracks where delta exceeds 15% as "potential discrepancy"</w:t>
      </w:r>
    </w:p>
    <w:p>
      <w:pPr>
        <w:pStyle w:val="ListParagraph"/>
        <w:numPr>
          <w:ilvl w:val="0"/>
          <w:numId w:val="3"/>
        </w:numPr>
        <w:spacing w:before="0" w:after="100"/>
      </w:pPr>
      <w:r>
        <w:rPr>
          <w:rFonts w:ascii="Arial" w:cs="Arial" w:eastAsia="Arial" w:hAnsi="Arial"/>
          <w:color w:val="1A1A2E"/>
          <w:sz w:val="20"/>
          <w:szCs w:val="20"/>
        </w:rPr>
        <w:t xml:space="preserve">Generate Missing Money Report listing flagged tracks with estimated gap</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Display</w:t>
      </w:r>
    </w:p>
    <w:p>
      <w:pPr>
        <w:pStyle w:val="ListParagraph"/>
        <w:numPr>
          <w:ilvl w:val="0"/>
          <w:numId w:val="2"/>
        </w:numPr>
        <w:spacing w:before="0" w:after="100"/>
      </w:pPr>
      <w:r>
        <w:rPr>
          <w:rFonts w:ascii="Arial" w:cs="Arial" w:eastAsia="Arial" w:hAnsi="Arial"/>
          <w:b/>
          <w:bCs/>
          <w:color w:val="1A1A2E"/>
          <w:sz w:val="20"/>
          <w:szCs w:val="20"/>
        </w:rPr>
        <w:t xml:space="preserve">Statement selector</w:t>
      </w:r>
      <w:r>
        <w:rPr>
          <w:rFonts w:ascii="Arial" w:cs="Arial" w:eastAsia="Arial" w:hAnsi="Arial"/>
          <w:color w:val="1A1A2E"/>
          <w:sz w:val="20"/>
          <w:szCs w:val="20"/>
        </w:rPr>
        <w:t xml:space="preserve"> — choose uploaded period</w:t>
      </w:r>
    </w:p>
    <w:p>
      <w:pPr>
        <w:pStyle w:val="ListParagraph"/>
        <w:numPr>
          <w:ilvl w:val="0"/>
          <w:numId w:val="2"/>
        </w:numPr>
        <w:spacing w:before="0" w:after="100"/>
      </w:pPr>
      <w:r>
        <w:rPr>
          <w:rFonts w:ascii="Arial" w:cs="Arial" w:eastAsia="Arial" w:hAnsi="Arial"/>
          <w:b/>
          <w:bCs/>
          <w:color w:val="1A1A2E"/>
          <w:sz w:val="20"/>
          <w:szCs w:val="20"/>
        </w:rPr>
        <w:t xml:space="preserve">Actuals vs Oracle table</w:t>
      </w:r>
      <w:r>
        <w:rPr>
          <w:rFonts w:ascii="Arial" w:cs="Arial" w:eastAsia="Arial" w:hAnsi="Arial"/>
          <w:color w:val="1A1A2E"/>
          <w:sz w:val="20"/>
          <w:szCs w:val="20"/>
        </w:rPr>
        <w:t xml:space="preserve"> — oracle estimate | reported payout | delta | status (Matched / Discrepancy)</w:t>
      </w:r>
    </w:p>
    <w:p>
      <w:pPr>
        <w:pStyle w:val="ListParagraph"/>
        <w:numPr>
          <w:ilvl w:val="0"/>
          <w:numId w:val="2"/>
        </w:numPr>
        <w:spacing w:before="0" w:after="100"/>
      </w:pPr>
      <w:r>
        <w:rPr>
          <w:rFonts w:ascii="Arial" w:cs="Arial" w:eastAsia="Arial" w:hAnsi="Arial"/>
          <w:b/>
          <w:bCs/>
          <w:color w:val="1A1A2E"/>
          <w:sz w:val="20"/>
          <w:szCs w:val="20"/>
        </w:rPr>
        <w:t xml:space="preserve">Missing money alert banner</w:t>
      </w:r>
      <w:r>
        <w:rPr>
          <w:rFonts w:ascii="Arial" w:cs="Arial" w:eastAsia="Arial" w:hAnsi="Arial"/>
          <w:color w:val="1A1A2E"/>
          <w:sz w:val="20"/>
          <w:szCs w:val="20"/>
        </w:rPr>
        <w:t xml:space="preserve"> — shown when discrepancies detected</w:t>
      </w:r>
    </w:p>
    <w:p>
      <w:pPr>
        <w:pStyle w:val="ListParagraph"/>
        <w:numPr>
          <w:ilvl w:val="0"/>
          <w:numId w:val="2"/>
        </w:numPr>
        <w:spacing w:before="0" w:after="100"/>
      </w:pPr>
      <w:r>
        <w:rPr>
          <w:rFonts w:ascii="Arial" w:cs="Arial" w:eastAsia="Arial" w:hAnsi="Arial"/>
          <w:b/>
          <w:bCs/>
          <w:color w:val="1A1A2E"/>
          <w:sz w:val="20"/>
          <w:szCs w:val="20"/>
        </w:rPr>
        <w:t xml:space="preserve">Summary cards</w:t>
      </w:r>
      <w:r>
        <w:rPr>
          <w:rFonts w:ascii="Arial" w:cs="Arial" w:eastAsia="Arial" w:hAnsi="Arial"/>
          <w:color w:val="1A1A2E"/>
          <w:sz w:val="20"/>
          <w:szCs w:val="20"/>
        </w:rPr>
        <w:t xml:space="preserve"> — Total Actuals | Total Oracle | Gap</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Supported Distributor Formats</w:t>
      </w:r>
    </w:p>
    <w:p>
      <w:pPr>
        <w:pStyle w:val="ListParagraph"/>
        <w:numPr>
          <w:ilvl w:val="0"/>
          <w:numId w:val="2"/>
        </w:numPr>
        <w:spacing w:before="0" w:after="100"/>
      </w:pPr>
      <w:r>
        <w:rPr>
          <w:rFonts w:ascii="Arial" w:cs="Arial" w:eastAsia="Arial" w:hAnsi="Arial"/>
          <w:color w:val="1A1A2E"/>
          <w:sz w:val="20"/>
          <w:szCs w:val="20"/>
        </w:rPr>
        <w:t xml:space="preserve">DistroKid — Monthly Earnings CSV</w:t>
      </w:r>
    </w:p>
    <w:p>
      <w:pPr>
        <w:pStyle w:val="ListParagraph"/>
        <w:numPr>
          <w:ilvl w:val="0"/>
          <w:numId w:val="2"/>
        </w:numPr>
        <w:spacing w:before="0" w:after="100"/>
      </w:pPr>
      <w:r>
        <w:rPr>
          <w:rFonts w:ascii="Arial" w:cs="Arial" w:eastAsia="Arial" w:hAnsi="Arial"/>
          <w:color w:val="1A1A2E"/>
          <w:sz w:val="20"/>
          <w:szCs w:val="20"/>
        </w:rPr>
        <w:t xml:space="preserve">TuneCore — Sales Report CSV</w:t>
      </w:r>
    </w:p>
    <w:p>
      <w:pPr>
        <w:pStyle w:val="ListParagraph"/>
        <w:numPr>
          <w:ilvl w:val="0"/>
          <w:numId w:val="2"/>
        </w:numPr>
        <w:spacing w:before="0" w:after="100"/>
      </w:pPr>
      <w:r>
        <w:rPr>
          <w:rFonts w:ascii="Arial" w:cs="Arial" w:eastAsia="Arial" w:hAnsi="Arial"/>
          <w:color w:val="1A1A2E"/>
          <w:sz w:val="20"/>
          <w:szCs w:val="20"/>
        </w:rPr>
        <w:t xml:space="preserve">Amuse — Royalty Statement CSV</w:t>
      </w:r>
    </w:p>
    <w:p>
      <w:pPr>
        <w:pStyle w:val="ListParagraph"/>
        <w:numPr>
          <w:ilvl w:val="0"/>
          <w:numId w:val="2"/>
        </w:numPr>
        <w:spacing w:before="0" w:after="100"/>
      </w:pPr>
      <w:r>
        <w:rPr>
          <w:rFonts w:ascii="Arial" w:cs="Arial" w:eastAsia="Arial" w:hAnsi="Arial"/>
          <w:color w:val="1A1A2E"/>
          <w:sz w:val="20"/>
          <w:szCs w:val="20"/>
        </w:rPr>
        <w:t xml:space="preserve">CD Baby — Royalty Report CSV</w:t>
      </w:r>
    </w:p>
    <w:p>
      <w:pPr>
        <w:pStyle w:val="ListParagraph"/>
        <w:numPr>
          <w:ilvl w:val="0"/>
          <w:numId w:val="2"/>
        </w:numPr>
        <w:spacing w:before="0" w:after="100"/>
      </w:pPr>
      <w:r>
        <w:rPr>
          <w:rFonts w:ascii="Arial" w:cs="Arial" w:eastAsia="Arial" w:hAnsi="Arial"/>
          <w:color w:val="1A1A2E"/>
          <w:sz w:val="20"/>
          <w:szCs w:val="20"/>
        </w:rPr>
        <w:t xml:space="preserve">Generic — for other distributors (requires ISRC, amount, period, DSP columns)</w:t>
      </w:r>
    </w:p>
    <w:p>
      <w:r>
        <w:br w:type="page"/>
      </w:r>
    </w:p>
    <w:p>
      <w:pPr>
        <w:pStyle w:val="Heading2"/>
        <w:spacing w:before="360" w:after="160"/>
      </w:pPr>
      <w:r>
        <w:rPr>
          <w:rFonts w:ascii="Arial" w:cs="Arial" w:eastAsia="Arial" w:hAnsi="Arial"/>
          <w:b/>
          <w:bCs/>
          <w:color w:val="1A1A2E"/>
          <w:sz w:val="28"/>
          <w:szCs w:val="28"/>
        </w:rPr>
        <w:t xml:space="preserve">4.5 Reclaim — CMO Registration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Access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Premium and Enterprise only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Purpose</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Guide rights holders through CMO registration. WavCash prepares the complete submission package — pre-filled forms, document checklist, step-by-step instructions. The rights holder submits directly to the CMO through the CMO's own channel.</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20"/>
              <w:bottom w:type="dxa" w:w="120"/>
              <w:right w:type="dxa" w:w="80"/>
            </w:tcMar>
          </w:tcPr>
          <w:p>
            <w:pPr>
              <w:jc w:val="center"/>
            </w:pPr>
            <w:r>
              <w:rPr>
                <w:rFonts w:ascii="Arial" w:cs="Arial" w:eastAsia="Arial" w:hAnsi="Arial"/>
                <w:b/>
                <w:bCs/>
                <w:color w:val="D97706"/>
                <w:sz w:val="18"/>
                <w:szCs w:val="18"/>
              </w:rPr>
              <w:t xml:space="preserve">📋</w:t>
            </w:r>
          </w:p>
        </w:tc>
        <w:tc>
          <w:tcPr>
            <w:tcW w:type="dxa" w:w="9160"/>
            <w:tcBorders>
              <w:top w:val="none" w:color="FFFFFF" w:sz="0"/>
              <w:left w:val="none" w:color="FFFFFF" w:sz="0"/>
              <w:bottom w:val="none" w:color="FFFFFF" w:sz="0"/>
              <w:right w:val="none" w:color="FFFFFF" w:sz="0"/>
            </w:tcBorders>
            <w:shd w:fill="FEF3C7" w:val="clear"/>
            <w:tcMar>
              <w:top w:type="dxa" w:w="120"/>
              <w:left w:type="dxa" w:w="120"/>
              <w:bottom w:type="dxa" w:w="120"/>
              <w:right w:type="dxa" w:w="120"/>
            </w:tcMar>
          </w:tcPr>
          <w:p>
            <w:pPr>
              <w:spacing w:after="0"/>
            </w:pPr>
            <w:r>
              <w:rPr>
                <w:rFonts w:ascii="Arial" w:cs="Arial" w:eastAsia="Arial" w:hAnsi="Arial"/>
                <w:color w:val="1A1A2E"/>
                <w:sz w:val="20"/>
                <w:szCs w:val="20"/>
              </w:rPr>
              <w:t xml:space="preserve">At MVP, WavCash is a guided preparation and documentation tool. We do not submit to CMOs directly, nor do we act as a collection agent. The payout rail toggle (for routing distributor royalties through WavCash) is configured here at the track level but activates in Phase 2 when the payment infrastructure ships.</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How CMO Submission Works</w:t>
      </w:r>
    </w:p>
    <w:p>
      <w:pPr>
        <w:spacing w:before="0" w:after="140"/>
      </w:pPr>
      <w:r>
        <w:rPr>
          <w:rFonts w:ascii="Arial" w:cs="Arial" w:eastAsia="Arial" w:hAnsi="Arial"/>
          <w:color w:val="1A1A2E"/>
          <w:sz w:val="20"/>
          <w:szCs w:val="20"/>
        </w:rPr>
        <w:t xml:space="preserve">CMOs do not have public submission APIs. Registration happens through CMO-specific channels: online portals, email, or physical mail. WavCash's role is to eliminate the hardest parts of this process:</w:t>
      </w:r>
    </w:p>
    <w:p>
      <w:pPr>
        <w:spacing w:before="0" w:after="80"/>
      </w:pPr>
      <w:r>
        <w:t xml:space="preserve"/>
      </w:r>
    </w:p>
    <w:p>
      <w:pPr>
        <w:pStyle w:val="ListParagraph"/>
        <w:numPr>
          <w:ilvl w:val="0"/>
          <w:numId w:val="2"/>
        </w:numPr>
        <w:spacing w:before="0" w:after="100"/>
      </w:pPr>
      <w:r>
        <w:rPr>
          <w:rFonts w:ascii="Arial" w:cs="Arial" w:eastAsia="Arial" w:hAnsi="Arial"/>
          <w:b/>
          <w:bCs/>
          <w:color w:val="1A1A2E"/>
          <w:sz w:val="20"/>
          <w:szCs w:val="20"/>
        </w:rPr>
        <w:t xml:space="preserve">Pre-fill forms</w:t>
      </w:r>
      <w:r>
        <w:rPr>
          <w:rFonts w:ascii="Arial" w:cs="Arial" w:eastAsia="Arial" w:hAnsi="Arial"/>
          <w:color w:val="1A1A2E"/>
          <w:sz w:val="20"/>
          <w:szCs w:val="20"/>
        </w:rPr>
        <w:t xml:space="preserve"> — using catalog data (ISRC, track title, release date, co-writers) and profile data (name, tax ID, nationality) already stored in the rights holder's WavCash account</w:t>
      </w:r>
    </w:p>
    <w:p>
      <w:pPr>
        <w:pStyle w:val="ListParagraph"/>
        <w:numPr>
          <w:ilvl w:val="0"/>
          <w:numId w:val="2"/>
        </w:numPr>
        <w:spacing w:before="0" w:after="100"/>
      </w:pPr>
      <w:r>
        <w:rPr>
          <w:rFonts w:ascii="Arial" w:cs="Arial" w:eastAsia="Arial" w:hAnsi="Arial"/>
          <w:b/>
          <w:bCs/>
          <w:color w:val="1A1A2E"/>
          <w:sz w:val="20"/>
          <w:szCs w:val="20"/>
        </w:rPr>
        <w:t xml:space="preserve">Document preparation</w:t>
      </w:r>
      <w:r>
        <w:rPr>
          <w:rFonts w:ascii="Arial" w:cs="Arial" w:eastAsia="Arial" w:hAnsi="Arial"/>
          <w:color w:val="1A1A2E"/>
          <w:sz w:val="20"/>
          <w:szCs w:val="20"/>
        </w:rPr>
        <w:t xml:space="preserve"> — checklist of exactly what each CMO requires, with upload slots for each document type</w:t>
      </w:r>
    </w:p>
    <w:p>
      <w:pPr>
        <w:pStyle w:val="ListParagraph"/>
        <w:numPr>
          <w:ilvl w:val="0"/>
          <w:numId w:val="2"/>
        </w:numPr>
        <w:spacing w:before="0" w:after="100"/>
      </w:pPr>
      <w:r>
        <w:rPr>
          <w:rFonts w:ascii="Arial" w:cs="Arial" w:eastAsia="Arial" w:hAnsi="Arial"/>
          <w:b/>
          <w:bCs/>
          <w:color w:val="1A1A2E"/>
          <w:sz w:val="20"/>
          <w:szCs w:val="20"/>
        </w:rPr>
        <w:t xml:space="preserve">Submission guidance</w:t>
      </w:r>
      <w:r>
        <w:rPr>
          <w:rFonts w:ascii="Arial" w:cs="Arial" w:eastAsia="Arial" w:hAnsi="Arial"/>
          <w:color w:val="1A1A2E"/>
          <w:sz w:val="20"/>
          <w:szCs w:val="20"/>
        </w:rPr>
        <w:t xml:space="preserve"> — step-by-step instructions for how to submit to that specific CMO, including direct links to their portal where applicable</w:t>
      </w:r>
    </w:p>
    <w:p>
      <w:pPr>
        <w:pStyle w:val="ListParagraph"/>
        <w:numPr>
          <w:ilvl w:val="0"/>
          <w:numId w:val="2"/>
        </w:numPr>
        <w:spacing w:before="0" w:after="100"/>
      </w:pPr>
      <w:r>
        <w:rPr>
          <w:rFonts w:ascii="Arial" w:cs="Arial" w:eastAsia="Arial" w:hAnsi="Arial"/>
          <w:b/>
          <w:bCs/>
          <w:color w:val="1A1A2E"/>
          <w:sz w:val="20"/>
          <w:szCs w:val="20"/>
        </w:rPr>
        <w:t xml:space="preserve">Status tracking</w:t>
      </w:r>
      <w:r>
        <w:rPr>
          <w:rFonts w:ascii="Arial" w:cs="Arial" w:eastAsia="Arial" w:hAnsi="Arial"/>
          <w:color w:val="1A1A2E"/>
          <w:sz w:val="20"/>
          <w:szCs w:val="20"/>
        </w:rPr>
        <w:t xml:space="preserve"> — rights holder updates status manually as they move through the CMO's process; WavCash sends reminders</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CMO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CMO</w:t>
            </w:r>
          </w:p>
        </w:tc>
        <w:tc>
          <w:tcPr>
            <w:tcW w:type="dxa" w:w="156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Country</w:t>
            </w:r>
          </w:p>
        </w:tc>
        <w:tc>
          <w:tcPr>
            <w:tcW w:type="dxa" w:w="156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Royalty Types</w:t>
            </w:r>
          </w:p>
        </w:tc>
        <w:tc>
          <w:tcPr>
            <w:tcW w:type="dxa" w:w="468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Submission Channel</w:t>
            </w:r>
          </w:p>
        </w:tc>
      </w:tr>
      <w:tr>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UBC</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Nigeria</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Performance, Mechanical</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Online portal + email</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MCSK</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Kenya</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Performance, Mechanical</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Online portal</w:t>
            </w:r>
          </w:p>
        </w:tc>
      </w:tr>
      <w:tr>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SAMRO</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South Africa</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Performance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Online portal</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CAPASSO</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South Africa</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Mechanical</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Online portal + physical</w:t>
            </w:r>
          </w:p>
        </w:tc>
      </w:tr>
      <w:tr>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ECAD</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Brazil</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Performance, Mechanical</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Online portal</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SACM</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Mexico</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Performance, Mechanical</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Online portal + physical</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Registration Wizard — Flow</w:t>
      </w:r>
    </w:p>
    <w:p>
      <w:pPr>
        <w:pStyle w:val="ListParagraph"/>
        <w:numPr>
          <w:ilvl w:val="0"/>
          <w:numId w:val="3"/>
        </w:numPr>
        <w:spacing w:before="0" w:after="100"/>
      </w:pPr>
      <w:r>
        <w:rPr>
          <w:rFonts w:ascii="Arial" w:cs="Arial" w:eastAsia="Arial" w:hAnsi="Arial"/>
          <w:b/>
          <w:bCs/>
          <w:color w:val="1A1A2E"/>
          <w:sz w:val="20"/>
          <w:szCs w:val="20"/>
        </w:rPr>
        <w:t xml:space="preserve">Eligibility check</w:t>
      </w:r>
      <w:r>
        <w:rPr>
          <w:rFonts w:ascii="Arial" w:cs="Arial" w:eastAsia="Arial" w:hAnsi="Arial"/>
          <w:color w:val="1A1A2E"/>
          <w:sz w:val="20"/>
          <w:szCs w:val="20"/>
        </w:rPr>
        <w:t xml:space="preserve"> — confirm rights holder qualifies (commercial release, rights ownership)</w:t>
      </w:r>
    </w:p>
    <w:p>
      <w:pPr>
        <w:pStyle w:val="ListParagraph"/>
        <w:numPr>
          <w:ilvl w:val="0"/>
          <w:numId w:val="3"/>
        </w:numPr>
        <w:spacing w:before="0" w:after="100"/>
      </w:pPr>
      <w:r>
        <w:rPr>
          <w:rFonts w:ascii="Arial" w:cs="Arial" w:eastAsia="Arial" w:hAnsi="Arial"/>
          <w:b/>
          <w:bCs/>
          <w:color w:val="1A1A2E"/>
          <w:sz w:val="20"/>
          <w:szCs w:val="20"/>
        </w:rPr>
        <w:t xml:space="preserve">Track selection</w:t>
      </w:r>
      <w:r>
        <w:rPr>
          <w:rFonts w:ascii="Arial" w:cs="Arial" w:eastAsia="Arial" w:hAnsi="Arial"/>
          <w:color w:val="1A1A2E"/>
          <w:sz w:val="20"/>
          <w:szCs w:val="20"/>
        </w:rPr>
        <w:t xml:space="preserve"> — select tracks from catalog to register. ISRC pre-filled. IPI field (International Parties Information — composer ID) with tooltip explaining what it is and how to get one.</w:t>
      </w:r>
    </w:p>
    <w:p>
      <w:pPr>
        <w:pStyle w:val="ListParagraph"/>
        <w:numPr>
          <w:ilvl w:val="0"/>
          <w:numId w:val="3"/>
        </w:numPr>
        <w:spacing w:before="0" w:after="100"/>
      </w:pPr>
      <w:r>
        <w:rPr>
          <w:rFonts w:ascii="Arial" w:cs="Arial" w:eastAsia="Arial" w:hAnsi="Arial"/>
          <w:b/>
          <w:bCs/>
          <w:color w:val="1A1A2E"/>
          <w:sz w:val="20"/>
          <w:szCs w:val="20"/>
        </w:rPr>
        <w:t xml:space="preserve">Personal information</w:t>
      </w:r>
      <w:r>
        <w:rPr>
          <w:rFonts w:ascii="Arial" w:cs="Arial" w:eastAsia="Arial" w:hAnsi="Arial"/>
          <w:color w:val="1A1A2E"/>
          <w:sz w:val="20"/>
          <w:szCs w:val="20"/>
        </w:rPr>
        <w:t xml:space="preserve"> — name, address, nationality, tax ID. Pre-filled from profile where available.</w:t>
      </w:r>
    </w:p>
    <w:p>
      <w:pPr>
        <w:pStyle w:val="ListParagraph"/>
        <w:numPr>
          <w:ilvl w:val="0"/>
          <w:numId w:val="3"/>
        </w:numPr>
        <w:spacing w:before="0" w:after="100"/>
      </w:pPr>
      <w:r>
        <w:rPr>
          <w:rFonts w:ascii="Arial" w:cs="Arial" w:eastAsia="Arial" w:hAnsi="Arial"/>
          <w:b/>
          <w:bCs/>
          <w:color w:val="1A1A2E"/>
          <w:sz w:val="20"/>
          <w:szCs w:val="20"/>
        </w:rPr>
        <w:t xml:space="preserve">Document upload</w:t>
      </w:r>
      <w:r>
        <w:rPr>
          <w:rFonts w:ascii="Arial" w:cs="Arial" w:eastAsia="Arial" w:hAnsi="Arial"/>
          <w:color w:val="1A1A2E"/>
          <w:sz w:val="20"/>
          <w:szCs w:val="20"/>
        </w:rPr>
        <w:t xml:space="preserve"> — CMO-specific checklist. Each slot shows: what is needed, why, accepted formats. Documents stored in WavCash for reuse.</w:t>
      </w:r>
    </w:p>
    <w:p>
      <w:pPr>
        <w:pStyle w:val="ListParagraph"/>
        <w:numPr>
          <w:ilvl w:val="0"/>
          <w:numId w:val="3"/>
        </w:numPr>
        <w:spacing w:before="0" w:after="100"/>
      </w:pPr>
      <w:r>
        <w:rPr>
          <w:rFonts w:ascii="Arial" w:cs="Arial" w:eastAsia="Arial" w:hAnsi="Arial"/>
          <w:b/>
          <w:bCs/>
          <w:color w:val="1A1A2E"/>
          <w:sz w:val="20"/>
          <w:szCs w:val="20"/>
        </w:rPr>
        <w:t xml:space="preserve">Payout toggle (per track)</w:t>
      </w:r>
      <w:r>
        <w:rPr>
          <w:rFonts w:ascii="Arial" w:cs="Arial" w:eastAsia="Arial" w:hAnsi="Arial"/>
          <w:color w:val="1A1A2E"/>
          <w:sz w:val="20"/>
          <w:szCs w:val="20"/>
        </w:rPr>
        <w:t xml:space="preserve"> — default ON: "Route distributor royalties for this track through WavCash." Activates in Phase 2. Clear fee disclosure shown.</w:t>
      </w:r>
    </w:p>
    <w:p>
      <w:pPr>
        <w:pStyle w:val="ListParagraph"/>
        <w:numPr>
          <w:ilvl w:val="0"/>
          <w:numId w:val="3"/>
        </w:numPr>
        <w:spacing w:before="0" w:after="100"/>
      </w:pPr>
      <w:r>
        <w:rPr>
          <w:rFonts w:ascii="Arial" w:cs="Arial" w:eastAsia="Arial" w:hAnsi="Arial"/>
          <w:b/>
          <w:bCs/>
          <w:color w:val="1A1A2E"/>
          <w:sz w:val="20"/>
          <w:szCs w:val="20"/>
        </w:rPr>
        <w:t xml:space="preserve">Package review</w:t>
      </w:r>
      <w:r>
        <w:rPr>
          <w:rFonts w:ascii="Arial" w:cs="Arial" w:eastAsia="Arial" w:hAnsi="Arial"/>
          <w:color w:val="1A1A2E"/>
          <w:sz w:val="20"/>
          <w:szCs w:val="20"/>
        </w:rPr>
        <w:t xml:space="preserve"> — completed form preview, all documents confirmed, submission instructions displayed.</w:t>
      </w:r>
    </w:p>
    <w:p>
      <w:pPr>
        <w:pStyle w:val="ListParagraph"/>
        <w:numPr>
          <w:ilvl w:val="0"/>
          <w:numId w:val="3"/>
        </w:numPr>
        <w:spacing w:before="0" w:after="100"/>
      </w:pPr>
      <w:r>
        <w:rPr>
          <w:rFonts w:ascii="Arial" w:cs="Arial" w:eastAsia="Arial" w:hAnsi="Arial"/>
          <w:b/>
          <w:bCs/>
          <w:color w:val="1A1A2E"/>
          <w:sz w:val="20"/>
          <w:szCs w:val="20"/>
        </w:rPr>
        <w:t xml:space="preserve">Mark as submitted</w:t>
      </w:r>
      <w:r>
        <w:rPr>
          <w:rFonts w:ascii="Arial" w:cs="Arial" w:eastAsia="Arial" w:hAnsi="Arial"/>
          <w:color w:val="1A1A2E"/>
          <w:sz w:val="20"/>
          <w:szCs w:val="20"/>
        </w:rPr>
        <w:t xml:space="preserve"> — rights holder confirms they have submitted to the CMO. Status updates to Submitted.</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Status Tracking</w:t>
      </w:r>
    </w:p>
    <w:p>
      <w:pPr>
        <w:pStyle w:val="ListParagraph"/>
        <w:numPr>
          <w:ilvl w:val="0"/>
          <w:numId w:val="2"/>
        </w:numPr>
        <w:spacing w:before="0" w:after="100"/>
      </w:pPr>
      <w:r>
        <w:rPr>
          <w:rFonts w:ascii="Arial" w:cs="Arial" w:eastAsia="Arial" w:hAnsi="Arial"/>
          <w:color w:val="1A1A2E"/>
          <w:sz w:val="20"/>
          <w:szCs w:val="20"/>
        </w:rPr>
        <w:t xml:space="preserve">Status per CMO per rights holder: Not Started → In Progress → Submitted → Approved / Rejected</w:t>
      </w:r>
    </w:p>
    <w:p>
      <w:pPr>
        <w:pStyle w:val="ListParagraph"/>
        <w:numPr>
          <w:ilvl w:val="0"/>
          <w:numId w:val="2"/>
        </w:numPr>
        <w:spacing w:before="0" w:after="100"/>
      </w:pPr>
      <w:r>
        <w:rPr>
          <w:rFonts w:ascii="Arial" w:cs="Arial" w:eastAsia="Arial" w:hAnsi="Arial"/>
          <w:color w:val="1A1A2E"/>
          <w:sz w:val="20"/>
          <w:szCs w:val="20"/>
        </w:rPr>
        <w:t xml:space="preserve">Email notifications on status changes</w:t>
      </w:r>
    </w:p>
    <w:p>
      <w:pPr>
        <w:pStyle w:val="ListParagraph"/>
        <w:numPr>
          <w:ilvl w:val="0"/>
          <w:numId w:val="2"/>
        </w:numPr>
        <w:spacing w:before="0" w:after="100"/>
      </w:pPr>
      <w:r>
        <w:rPr>
          <w:rFonts w:ascii="Arial" w:cs="Arial" w:eastAsia="Arial" w:hAnsi="Arial"/>
          <w:color w:val="1A1A2E"/>
          <w:sz w:val="20"/>
          <w:szCs w:val="20"/>
        </w:rPr>
        <w:t xml:space="preserve">Rejected registrations show CMO's stated reason and "Fix and Resubmit" path</w:t>
      </w:r>
    </w:p>
    <w:p>
      <w:pPr>
        <w:pStyle w:val="ListParagraph"/>
        <w:numPr>
          <w:ilvl w:val="0"/>
          <w:numId w:val="2"/>
        </w:numPr>
        <w:spacing w:before="0" w:after="100"/>
      </w:pPr>
      <w:r>
        <w:rPr>
          <w:rFonts w:ascii="Arial" w:cs="Arial" w:eastAsia="Arial" w:hAnsi="Arial"/>
          <w:color w:val="1A1A2E"/>
          <w:sz w:val="20"/>
          <w:szCs w:val="20"/>
        </w:rPr>
        <w:t xml:space="preserve">Dashboard shows aggregated Reclaim status across all CMOs at a glance</w:t>
      </w:r>
    </w:p>
    <w:p>
      <w:r>
        <w:br w:type="page"/>
      </w:r>
    </w:p>
    <w:p>
      <w:pPr>
        <w:pStyle w:val="Heading2"/>
        <w:spacing w:before="360" w:after="160"/>
      </w:pPr>
      <w:r>
        <w:rPr>
          <w:rFonts w:ascii="Arial" w:cs="Arial" w:eastAsia="Arial" w:hAnsi="Arial"/>
          <w:b/>
          <w:bCs/>
          <w:color w:val="1A1A2E"/>
          <w:sz w:val="28"/>
          <w:szCs w:val="28"/>
        </w:rPr>
        <w:t xml:space="preserve">4.6 Splits by WavCash (Onchain, AVAX C-Chain)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Access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Premium and Enterprise only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Blockchain</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AVAX C-Chain (EVM-compatible, Solidity)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MVP scope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Legally binding onchain co-ownership record. Permanent, tamper-proof, verifiable. Financial redistribution activates in Phase 2.</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F2FF" w:val="clear"/>
            <w:tcMar>
              <w:top w:type="dxa" w:w="120"/>
              <w:left w:type="dxa" w:w="120"/>
              <w:bottom w:type="dxa" w:w="120"/>
              <w:right w:type="dxa" w:w="80"/>
            </w:tcMar>
          </w:tcPr>
          <w:p>
            <w:pPr>
              <w:jc w:val="center"/>
            </w:pPr>
            <w:r>
              <w:rPr>
                <w:rFonts w:ascii="Arial" w:cs="Arial" w:eastAsia="Arial" w:hAnsi="Arial"/>
                <w:b/>
                <w:bCs/>
                <w:color w:val="4F46E5"/>
                <w:sz w:val="18"/>
                <w:szCs w:val="18"/>
              </w:rPr>
              <w:t xml:space="preserve">📋</w:t>
            </w:r>
          </w:p>
        </w:tc>
        <w:tc>
          <w:tcPr>
            <w:tcW w:type="dxa" w:w="9160"/>
            <w:tcBorders>
              <w:top w:val="none" w:color="FFFFFF" w:sz="0"/>
              <w:left w:val="none" w:color="FFFFFF" w:sz="0"/>
              <w:bottom w:val="none" w:color="FFFFFF" w:sz="0"/>
              <w:right w:val="none" w:color="FFFFFF" w:sz="0"/>
            </w:tcBorders>
            <w:shd w:fill="EEF2FF" w:val="clear"/>
            <w:tcMar>
              <w:top w:type="dxa" w:w="120"/>
              <w:left w:type="dxa" w:w="120"/>
              <w:bottom w:type="dxa" w:w="120"/>
              <w:right w:type="dxa" w:w="120"/>
            </w:tcMar>
          </w:tcPr>
          <w:p>
            <w:pPr>
              <w:spacing w:after="0"/>
            </w:pPr>
            <w:r>
              <w:rPr>
                <w:rFonts w:ascii="Arial" w:cs="Arial" w:eastAsia="Arial" w:hAnsi="Arial"/>
                <w:color w:val="1A1A2E"/>
                <w:sz w:val="20"/>
                <w:szCs w:val="20"/>
              </w:rPr>
              <w:t xml:space="preserve">At MVP, a split agreement is a permanent onchain record of who owns what percentage of a work. When royalties arrive for that work, distribution to contributors happens manually or through the creator's own arrangements. Automatic financial redistribution — where WavCash receives the full royalty and distributes to all contributors — activates in Phase 2 alongside the virtual account infrastructure. This is communicated clearly to users at the point of creating an agreement.</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20"/>
              <w:bottom w:type="dxa" w:w="120"/>
              <w:right w:type="dxa" w:w="80"/>
            </w:tcMar>
          </w:tcPr>
          <w:p>
            <w:pPr>
              <w:jc w:val="center"/>
            </w:pPr>
            <w:r>
              <w:rPr>
                <w:rFonts w:ascii="Arial" w:cs="Arial" w:eastAsia="Arial" w:hAnsi="Arial"/>
                <w:b/>
                <w:bCs/>
                <w:color w:val="D97706"/>
                <w:sz w:val="18"/>
                <w:szCs w:val="18"/>
              </w:rPr>
              <w:t xml:space="preserve">⚠️</w:t>
            </w:r>
          </w:p>
        </w:tc>
        <w:tc>
          <w:tcPr>
            <w:tcW w:type="dxa" w:w="9160"/>
            <w:tcBorders>
              <w:top w:val="none" w:color="FFFFFF" w:sz="0"/>
              <w:left w:val="none" w:color="FFFFFF" w:sz="0"/>
              <w:bottom w:val="none" w:color="FFFFFF" w:sz="0"/>
              <w:right w:val="none" w:color="FFFFFF" w:sz="0"/>
            </w:tcBorders>
            <w:shd w:fill="FEF3C7" w:val="clear"/>
            <w:tcMar>
              <w:top w:type="dxa" w:w="120"/>
              <w:left w:type="dxa" w:w="120"/>
              <w:bottom w:type="dxa" w:w="120"/>
              <w:right w:type="dxa" w:w="120"/>
            </w:tcMar>
          </w:tcPr>
          <w:p>
            <w:pPr>
              <w:spacing w:after="0"/>
            </w:pPr>
            <w:r>
              <w:rPr>
                <w:rFonts w:ascii="Arial" w:cs="Arial" w:eastAsia="Arial" w:hAnsi="Arial"/>
                <w:color w:val="1A1A2E"/>
                <w:sz w:val="20"/>
                <w:szCs w:val="20"/>
              </w:rPr>
              <w:t xml:space="preserve">Full crypto abstraction applies. Users see: "Create Agreement", "Sign Agreement", "Agreement Active". Never: contract address, gas fee, wallet, onchain, AVAX.</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How Royalty Splits Work (Important Context)</w:t>
      </w:r>
    </w:p>
    <w:p>
      <w:pPr>
        <w:spacing w:before="0" w:after="140"/>
      </w:pPr>
      <w:r>
        <w:rPr>
          <w:rFonts w:ascii="Arial" w:cs="Arial" w:eastAsia="Arial" w:hAnsi="Arial"/>
          <w:color w:val="1A1A2E"/>
          <w:sz w:val="20"/>
          <w:szCs w:val="20"/>
        </w:rPr>
        <w:t xml:space="preserve">When a track earns royalties, the full 100% of that ISRC's payout goes to whoever registered it with the distributor — typically the lead artist or uploader. The distributor has no knowledge of private split arrangements. This means:</w:t>
      </w:r>
    </w:p>
    <w:p>
      <w:pPr>
        <w:spacing w:before="0" w:after="80"/>
      </w:pPr>
      <w:r>
        <w:t xml:space="preserve"/>
      </w:r>
    </w:p>
    <w:p>
      <w:pPr>
        <w:pStyle w:val="ListParagraph"/>
        <w:numPr>
          <w:ilvl w:val="0"/>
          <w:numId w:val="2"/>
        </w:numPr>
        <w:spacing w:before="0" w:after="100"/>
      </w:pPr>
      <w:r>
        <w:rPr>
          <w:rFonts w:ascii="Arial" w:cs="Arial" w:eastAsia="Arial" w:hAnsi="Arial"/>
          <w:color w:val="1A1A2E"/>
          <w:sz w:val="20"/>
          <w:szCs w:val="20"/>
        </w:rPr>
        <w:t xml:space="preserve">Distributor pays the full amount to the track registrant</w:t>
      </w:r>
    </w:p>
    <w:p>
      <w:pPr>
        <w:pStyle w:val="ListParagraph"/>
        <w:numPr>
          <w:ilvl w:val="0"/>
          <w:numId w:val="2"/>
        </w:numPr>
        <w:spacing w:before="0" w:after="100"/>
      </w:pPr>
      <w:r>
        <w:rPr>
          <w:rFonts w:ascii="Arial" w:cs="Arial" w:eastAsia="Arial" w:hAnsi="Arial"/>
          <w:color w:val="1A1A2E"/>
          <w:sz w:val="20"/>
          <w:szCs w:val="20"/>
        </w:rPr>
        <w:t xml:space="preserve">The split agreement is a private legal and onchain record of how that money should be divided</w:t>
      </w:r>
    </w:p>
    <w:p>
      <w:pPr>
        <w:pStyle w:val="ListParagraph"/>
        <w:numPr>
          <w:ilvl w:val="0"/>
          <w:numId w:val="2"/>
        </w:numPr>
        <w:spacing w:before="0" w:after="100"/>
      </w:pPr>
      <w:r>
        <w:rPr>
          <w:rFonts w:ascii="Arial" w:cs="Arial" w:eastAsia="Arial" w:hAnsi="Arial"/>
          <w:color w:val="1A1A2E"/>
          <w:sz w:val="20"/>
          <w:szCs w:val="20"/>
        </w:rPr>
        <w:t xml:space="preserve">In Phase 2, when the registrant's royalties flow into their WavCash virtual account, the platform detects the ISRC, checks for an active split agreement, and automatically redistributes to all contributors</w:t>
      </w:r>
    </w:p>
    <w:p>
      <w:pPr>
        <w:pStyle w:val="ListParagraph"/>
        <w:numPr>
          <w:ilvl w:val="0"/>
          <w:numId w:val="2"/>
        </w:numPr>
        <w:spacing w:before="0" w:after="100"/>
      </w:pPr>
      <w:r>
        <w:rPr>
          <w:rFonts w:ascii="Arial" w:cs="Arial" w:eastAsia="Arial" w:hAnsi="Arial"/>
          <w:color w:val="1A1A2E"/>
          <w:sz w:val="20"/>
          <w:szCs w:val="20"/>
        </w:rPr>
        <w:t xml:space="preserve">WavCash collects the whole amount and pays each contributor their share — the registrant does not need to manually forward anything</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Adding Contributors</w:t>
      </w:r>
    </w:p>
    <w:p>
      <w:pPr>
        <w:spacing w:before="0" w:after="140"/>
      </w:pPr>
      <w:r>
        <w:rPr>
          <w:rFonts w:ascii="Arial" w:cs="Arial" w:eastAsia="Arial" w:hAnsi="Arial"/>
          <w:color w:val="1A1A2E"/>
          <w:sz w:val="20"/>
          <w:szCs w:val="20"/>
        </w:rPr>
        <w:t xml:space="preserve">Contributors are added by one of two methods:</w:t>
      </w:r>
    </w:p>
    <w:p>
      <w:pPr>
        <w:spacing w:before="0" w:after="80"/>
      </w:pPr>
      <w:r>
        <w:t xml:space="preserve"/>
      </w:r>
    </w:p>
    <w:p>
      <w:pPr>
        <w:spacing w:before="200" w:after="100"/>
      </w:pPr>
      <w:r>
        <w:rPr>
          <w:rFonts w:ascii="Arial" w:cs="Arial" w:eastAsia="Arial" w:hAnsi="Arial"/>
          <w:b/>
          <w:bCs/>
          <w:color w:val="1A1A2E"/>
          <w:sz w:val="22"/>
          <w:szCs w:val="22"/>
        </w:rPr>
        <w:t xml:space="preserve">Method 1: Email (legal name required)</w:t>
      </w:r>
    </w:p>
    <w:p>
      <w:pPr>
        <w:pStyle w:val="ListParagraph"/>
        <w:numPr>
          <w:ilvl w:val="0"/>
          <w:numId w:val="2"/>
        </w:numPr>
        <w:spacing w:before="0" w:after="100"/>
      </w:pPr>
      <w:r>
        <w:rPr>
          <w:rFonts w:ascii="Arial" w:cs="Arial" w:eastAsia="Arial" w:hAnsi="Arial"/>
          <w:color w:val="1A1A2E"/>
          <w:sz w:val="20"/>
          <w:szCs w:val="20"/>
        </w:rPr>
        <w:t xml:space="preserve">Creator enters contributor's email address</w:t>
      </w:r>
    </w:p>
    <w:p>
      <w:pPr>
        <w:pStyle w:val="ListParagraph"/>
        <w:numPr>
          <w:ilvl w:val="0"/>
          <w:numId w:val="2"/>
        </w:numPr>
        <w:spacing w:before="0" w:after="100"/>
      </w:pPr>
      <w:r>
        <w:rPr>
          <w:rFonts w:ascii="Arial" w:cs="Arial" w:eastAsia="Arial" w:hAnsi="Arial"/>
          <w:color w:val="1A1A2E"/>
          <w:sz w:val="20"/>
          <w:szCs w:val="20"/>
        </w:rPr>
        <w:t xml:space="preserve">Legal name field is required — this becomes part of the onchain agreement record</w:t>
      </w:r>
    </w:p>
    <w:p>
      <w:pPr>
        <w:pStyle w:val="ListParagraph"/>
        <w:numPr>
          <w:ilvl w:val="0"/>
          <w:numId w:val="2"/>
        </w:numPr>
        <w:spacing w:before="0" w:after="100"/>
      </w:pPr>
      <w:r>
        <w:rPr>
          <w:rFonts w:ascii="Arial" w:cs="Arial" w:eastAsia="Arial" w:hAnsi="Arial"/>
          <w:color w:val="1A1A2E"/>
          <w:sz w:val="20"/>
          <w:szCs w:val="20"/>
        </w:rPr>
        <w:t xml:space="preserve">Role field: Producer, Co-Writer, Featured Artist, Other</w:t>
      </w:r>
    </w:p>
    <w:p>
      <w:pPr>
        <w:pStyle w:val="ListParagraph"/>
        <w:numPr>
          <w:ilvl w:val="0"/>
          <w:numId w:val="2"/>
        </w:numPr>
        <w:spacing w:before="0" w:after="100"/>
      </w:pPr>
      <w:r>
        <w:rPr>
          <w:rFonts w:ascii="Arial" w:cs="Arial" w:eastAsia="Arial" w:hAnsi="Arial"/>
          <w:color w:val="1A1A2E"/>
          <w:sz w:val="20"/>
          <w:szCs w:val="20"/>
        </w:rPr>
        <w:t xml:space="preserve">Percentage share field</w:t>
      </w:r>
    </w:p>
    <w:p>
      <w:pPr>
        <w:spacing w:before="0" w:after="80"/>
      </w:pPr>
      <w:r>
        <w:t xml:space="preserve"/>
      </w:r>
    </w:p>
    <w:p>
      <w:pPr>
        <w:spacing w:before="200" w:after="100"/>
      </w:pPr>
      <w:r>
        <w:rPr>
          <w:rFonts w:ascii="Arial" w:cs="Arial" w:eastAsia="Arial" w:hAnsi="Arial"/>
          <w:b/>
          <w:bCs/>
          <w:color w:val="1A1A2E"/>
          <w:sz w:val="22"/>
          <w:szCs w:val="22"/>
        </w:rPr>
        <w:t xml:space="preserve">Method 2: WavCash ID</w:t>
      </w:r>
    </w:p>
    <w:p>
      <w:pPr>
        <w:pStyle w:val="ListParagraph"/>
        <w:numPr>
          <w:ilvl w:val="0"/>
          <w:numId w:val="2"/>
        </w:numPr>
        <w:spacing w:before="0" w:after="100"/>
      </w:pPr>
      <w:r>
        <w:rPr>
          <w:rFonts w:ascii="Arial" w:cs="Arial" w:eastAsia="Arial" w:hAnsi="Arial"/>
          <w:color w:val="1A1A2E"/>
          <w:sz w:val="20"/>
          <w:szCs w:val="20"/>
        </w:rPr>
        <w:t xml:space="preserve">Creator enters the contributor's WavCash ID (unique platform identifier, displayed in every user's profile settings)</w:t>
      </w:r>
    </w:p>
    <w:p>
      <w:pPr>
        <w:pStyle w:val="ListParagraph"/>
        <w:numPr>
          <w:ilvl w:val="0"/>
          <w:numId w:val="2"/>
        </w:numPr>
        <w:spacing w:before="0" w:after="100"/>
      </w:pPr>
      <w:r>
        <w:rPr>
          <w:rFonts w:ascii="Arial" w:cs="Arial" w:eastAsia="Arial" w:hAnsi="Arial"/>
          <w:color w:val="1A1A2E"/>
          <w:sz w:val="20"/>
          <w:szCs w:val="20"/>
        </w:rPr>
        <w:t xml:space="preserve">Legal name, profile name, and country auto-populate from the WavCash account — creator confirms before adding</w:t>
      </w:r>
    </w:p>
    <w:p>
      <w:pPr>
        <w:pStyle w:val="ListParagraph"/>
        <w:numPr>
          <w:ilvl w:val="0"/>
          <w:numId w:val="2"/>
        </w:numPr>
        <w:spacing w:before="0" w:after="100"/>
      </w:pPr>
      <w:r>
        <w:rPr>
          <w:rFonts w:ascii="Arial" w:cs="Arial" w:eastAsia="Arial" w:hAnsi="Arial"/>
          <w:color w:val="1A1A2E"/>
          <w:sz w:val="20"/>
          <w:szCs w:val="20"/>
        </w:rPr>
        <w:t xml:space="preserve">Role and percentage fields still required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F2FF" w:val="clear"/>
            <w:tcMar>
              <w:top w:type="dxa" w:w="120"/>
              <w:left w:type="dxa" w:w="120"/>
              <w:bottom w:type="dxa" w:w="120"/>
              <w:right w:type="dxa" w:w="80"/>
            </w:tcMar>
          </w:tcPr>
          <w:p>
            <w:pPr>
              <w:jc w:val="center"/>
            </w:pPr>
            <w:r>
              <w:rPr>
                <w:rFonts w:ascii="Arial" w:cs="Arial" w:eastAsia="Arial" w:hAnsi="Arial"/>
                <w:b/>
                <w:bCs/>
                <w:color w:val="4F46E5"/>
                <w:sz w:val="18"/>
                <w:szCs w:val="18"/>
              </w:rPr>
              <w:t xml:space="preserve">ℹ️</w:t>
            </w:r>
          </w:p>
        </w:tc>
        <w:tc>
          <w:tcPr>
            <w:tcW w:type="dxa" w:w="9160"/>
            <w:tcBorders>
              <w:top w:val="none" w:color="FFFFFF" w:sz="0"/>
              <w:left w:val="none" w:color="FFFFFF" w:sz="0"/>
              <w:bottom w:val="none" w:color="FFFFFF" w:sz="0"/>
              <w:right w:val="none" w:color="FFFFFF" w:sz="0"/>
            </w:tcBorders>
            <w:shd w:fill="EEF2FF" w:val="clear"/>
            <w:tcMar>
              <w:top w:type="dxa" w:w="120"/>
              <w:left w:type="dxa" w:w="120"/>
              <w:bottom w:type="dxa" w:w="120"/>
              <w:right w:type="dxa" w:w="120"/>
            </w:tcMar>
          </w:tcPr>
          <w:p>
            <w:pPr>
              <w:spacing w:after="0"/>
            </w:pPr>
            <w:r>
              <w:rPr>
                <w:rFonts w:ascii="Arial" w:cs="Arial" w:eastAsia="Arial" w:hAnsi="Arial"/>
                <w:color w:val="1A1A2E"/>
                <w:sz w:val="20"/>
                <w:szCs w:val="20"/>
              </w:rPr>
              <w:t xml:space="preserve">WavCash ID is a unique identifier assigned to every account at signup (e.g. WC-XXXXXX). It is visible in Settings and is the recommended way to add contributors who are already on the platform — it eliminates typos and ensures correct attribution in the database.</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Create Agreement — Full Flow</w:t>
      </w:r>
    </w:p>
    <w:p>
      <w:pPr>
        <w:pStyle w:val="ListParagraph"/>
        <w:numPr>
          <w:ilvl w:val="0"/>
          <w:numId w:val="3"/>
        </w:numPr>
        <w:spacing w:before="0" w:after="100"/>
      </w:pPr>
      <w:r>
        <w:rPr>
          <w:rFonts w:ascii="Arial" w:cs="Arial" w:eastAsia="Arial" w:hAnsi="Arial"/>
          <w:color w:val="1A1A2E"/>
          <w:sz w:val="20"/>
          <w:szCs w:val="20"/>
        </w:rPr>
        <w:t xml:space="preserve">Navigate to Splits → "Create New Agreement"</w:t>
      </w:r>
    </w:p>
    <w:p>
      <w:pPr>
        <w:pStyle w:val="ListParagraph"/>
        <w:numPr>
          <w:ilvl w:val="0"/>
          <w:numId w:val="3"/>
        </w:numPr>
        <w:spacing w:before="0" w:after="100"/>
      </w:pPr>
      <w:r>
        <w:rPr>
          <w:rFonts w:ascii="Arial" w:cs="Arial" w:eastAsia="Arial" w:hAnsi="Arial"/>
          <w:b/>
          <w:bCs/>
          <w:color w:val="1A1A2E"/>
          <w:sz w:val="20"/>
          <w:szCs w:val="20"/>
        </w:rPr>
        <w:t xml:space="preserve">Select track</w:t>
      </w:r>
      <w:r>
        <w:rPr>
          <w:rFonts w:ascii="Arial" w:cs="Arial" w:eastAsia="Arial" w:hAnsi="Arial"/>
          <w:color w:val="1A1A2E"/>
          <w:sz w:val="20"/>
          <w:szCs w:val="20"/>
        </w:rPr>
        <w:t xml:space="preserve"> — search or browse catalog. Track title and ISRC displayed.</w:t>
      </w:r>
    </w:p>
    <w:p>
      <w:pPr>
        <w:pStyle w:val="ListParagraph"/>
        <w:numPr>
          <w:ilvl w:val="0"/>
          <w:numId w:val="3"/>
        </w:numPr>
        <w:spacing w:before="0" w:after="100"/>
      </w:pPr>
      <w:r>
        <w:rPr>
          <w:rFonts w:ascii="Arial" w:cs="Arial" w:eastAsia="Arial" w:hAnsi="Arial"/>
          <w:b/>
          <w:bCs/>
          <w:color w:val="1A1A2E"/>
          <w:sz w:val="20"/>
          <w:szCs w:val="20"/>
        </w:rPr>
        <w:t xml:space="preserve">Add contributors</w:t>
      </w:r>
      <w:r>
        <w:rPr>
          <w:rFonts w:ascii="Arial" w:cs="Arial" w:eastAsia="Arial" w:hAnsi="Arial"/>
          <w:color w:val="1A1A2E"/>
          <w:sz w:val="20"/>
          <w:szCs w:val="20"/>
        </w:rPr>
        <w:t xml:space="preserve"> — by email (+ legal name) or WavCash ID. For each: role + percentage share. Visual bar updates in real time. Must sum to 100% to proceed.</w:t>
      </w:r>
    </w:p>
    <w:p>
      <w:pPr>
        <w:pStyle w:val="ListParagraph"/>
        <w:numPr>
          <w:ilvl w:val="0"/>
          <w:numId w:val="3"/>
        </w:numPr>
        <w:spacing w:before="0" w:after="100"/>
      </w:pPr>
      <w:r>
        <w:rPr>
          <w:rFonts w:ascii="Arial" w:cs="Arial" w:eastAsia="Arial" w:hAnsi="Arial"/>
          <w:b/>
          <w:bCs/>
          <w:color w:val="1A1A2E"/>
          <w:sz w:val="20"/>
          <w:szCs w:val="20"/>
        </w:rPr>
        <w:t xml:space="preserve">Agreement name</w:t>
      </w:r>
      <w:r>
        <w:rPr>
          <w:rFonts w:ascii="Arial" w:cs="Arial" w:eastAsia="Arial" w:hAnsi="Arial"/>
          <w:color w:val="1A1A2E"/>
          <w:sz w:val="20"/>
          <w:szCs w:val="20"/>
        </w:rPr>
        <w:t xml:space="preserve"> — auto-generated from track title, editable (e.g. "Lost in Lagos — Production Agreement")</w:t>
      </w:r>
    </w:p>
    <w:p>
      <w:pPr>
        <w:pStyle w:val="ListParagraph"/>
        <w:numPr>
          <w:ilvl w:val="0"/>
          <w:numId w:val="3"/>
        </w:numPr>
        <w:spacing w:before="0" w:after="100"/>
      </w:pPr>
      <w:r>
        <w:rPr>
          <w:rFonts w:ascii="Arial" w:cs="Arial" w:eastAsia="Arial" w:hAnsi="Arial"/>
          <w:b/>
          <w:bCs/>
          <w:color w:val="1A1A2E"/>
          <w:sz w:val="20"/>
          <w:szCs w:val="20"/>
        </w:rPr>
        <w:t xml:space="preserve">Review</w:t>
      </w:r>
      <w:r>
        <w:rPr>
          <w:rFonts w:ascii="Arial" w:cs="Arial" w:eastAsia="Arial" w:hAnsi="Arial"/>
          <w:color w:val="1A1A2E"/>
          <w:sz w:val="20"/>
          <w:szCs w:val="20"/>
        </w:rPr>
        <w:t xml:space="preserve"> — summary of all contributors, shares, roles, and a clear statement: "This agreement is a permanent record. Automatic payment distribution activates when your WavCash payout account is set up."</w:t>
      </w:r>
    </w:p>
    <w:p>
      <w:pPr>
        <w:pStyle w:val="ListParagraph"/>
        <w:numPr>
          <w:ilvl w:val="0"/>
          <w:numId w:val="3"/>
        </w:numPr>
        <w:spacing w:before="0" w:after="100"/>
      </w:pPr>
      <w:r>
        <w:rPr>
          <w:rFonts w:ascii="Arial" w:cs="Arial" w:eastAsia="Arial" w:hAnsi="Arial"/>
          <w:b/>
          <w:bCs/>
          <w:color w:val="1A1A2E"/>
          <w:sz w:val="20"/>
          <w:szCs w:val="20"/>
        </w:rPr>
        <w:t xml:space="preserve">Send for signatures</w:t>
      </w:r>
      <w:r>
        <w:rPr>
          <w:rFonts w:ascii="Arial" w:cs="Arial" w:eastAsia="Arial" w:hAnsi="Arial"/>
          <w:color w:val="1A1A2E"/>
          <w:sz w:val="20"/>
          <w:szCs w:val="20"/>
        </w:rPr>
        <w:t xml:space="preserve"> — draft agreement deployed onchain silently. Each contributor notified.</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Signing — Contributor Experience</w:t>
      </w:r>
    </w:p>
    <w:p>
      <w:pPr>
        <w:spacing w:before="200" w:after="100"/>
      </w:pPr>
      <w:r>
        <w:rPr>
          <w:rFonts w:ascii="Arial" w:cs="Arial" w:eastAsia="Arial" w:hAnsi="Arial"/>
          <w:b/>
          <w:bCs/>
          <w:color w:val="1A1A2E"/>
          <w:sz w:val="22"/>
          <w:szCs w:val="22"/>
        </w:rPr>
        <w:t xml:space="preserve">Contributors with WavCash accounts:</w:t>
      </w:r>
    </w:p>
    <w:p>
      <w:pPr>
        <w:pStyle w:val="ListParagraph"/>
        <w:numPr>
          <w:ilvl w:val="0"/>
          <w:numId w:val="2"/>
        </w:numPr>
        <w:spacing w:before="0" w:after="100"/>
      </w:pPr>
      <w:r>
        <w:rPr>
          <w:rFonts w:ascii="Arial" w:cs="Arial" w:eastAsia="Arial" w:hAnsi="Arial"/>
          <w:color w:val="1A1A2E"/>
          <w:sz w:val="20"/>
          <w:szCs w:val="20"/>
        </w:rPr>
        <w:t xml:space="preserve">Notification in Splits tab: "You've been invited to sign an agreement for [Track Name]"</w:t>
      </w:r>
    </w:p>
    <w:p>
      <w:pPr>
        <w:pStyle w:val="ListParagraph"/>
        <w:numPr>
          <w:ilvl w:val="0"/>
          <w:numId w:val="2"/>
        </w:numPr>
        <w:spacing w:before="0" w:after="100"/>
      </w:pPr>
      <w:r>
        <w:rPr>
          <w:rFonts w:ascii="Arial" w:cs="Arial" w:eastAsia="Arial" w:hAnsi="Arial"/>
          <w:color w:val="1A1A2E"/>
          <w:sz w:val="20"/>
          <w:szCs w:val="20"/>
        </w:rPr>
        <w:t xml:space="preserve">Agreement terms, their share, co-contributors (names only)</w:t>
      </w:r>
    </w:p>
    <w:p>
      <w:pPr>
        <w:pStyle w:val="ListParagraph"/>
        <w:numPr>
          <w:ilvl w:val="0"/>
          <w:numId w:val="2"/>
        </w:numPr>
        <w:spacing w:before="0" w:after="100"/>
      </w:pPr>
      <w:r>
        <w:rPr>
          <w:rFonts w:ascii="Arial" w:cs="Arial" w:eastAsia="Arial" w:hAnsi="Arial"/>
          <w:color w:val="1A1A2E"/>
          <w:sz w:val="20"/>
          <w:szCs w:val="20"/>
        </w:rPr>
        <w:t xml:space="preserve">"Sign Agreement" button — onchain signature submitted silently via their custodial wallet</w:t>
      </w:r>
    </w:p>
    <w:p>
      <w:pPr>
        <w:spacing w:before="0" w:after="80"/>
      </w:pPr>
      <w:r>
        <w:t xml:space="preserve"/>
      </w:r>
    </w:p>
    <w:p>
      <w:pPr>
        <w:spacing w:before="200" w:after="100"/>
      </w:pPr>
      <w:r>
        <w:rPr>
          <w:rFonts w:ascii="Arial" w:cs="Arial" w:eastAsia="Arial" w:hAnsi="Arial"/>
          <w:b/>
          <w:bCs/>
          <w:color w:val="1A1A2E"/>
          <w:sz w:val="22"/>
          <w:szCs w:val="22"/>
        </w:rPr>
        <w:t xml:space="preserve">Contributors without WavCash accounts:</w:t>
      </w:r>
    </w:p>
    <w:p>
      <w:pPr>
        <w:spacing w:before="0" w:after="140"/>
      </w:pPr>
      <w:r>
        <w:rPr>
          <w:rFonts w:ascii="Arial" w:cs="Arial" w:eastAsia="Arial" w:hAnsi="Arial"/>
          <w:color w:val="1A1A2E"/>
          <w:sz w:val="20"/>
          <w:szCs w:val="20"/>
        </w:rPr>
        <w:t xml:space="preserve">Email with signing link. On the signing page:</w:t>
      </w:r>
    </w:p>
    <w:p>
      <w:pPr>
        <w:spacing w:before="0" w:after="60"/>
      </w:pPr>
      <w:r>
        <w:t xml:space="preserve"/>
      </w:r>
    </w:p>
    <w:p>
      <w:pPr>
        <w:pStyle w:val="ListParagraph"/>
        <w:numPr>
          <w:ilvl w:val="0"/>
          <w:numId w:val="2"/>
        </w:numPr>
        <w:spacing w:before="0" w:after="100"/>
      </w:pPr>
      <w:r>
        <w:rPr>
          <w:rFonts w:ascii="Arial" w:cs="Arial" w:eastAsia="Arial" w:hAnsi="Arial"/>
          <w:b/>
          <w:bCs/>
          <w:color w:val="1A1A2E"/>
          <w:sz w:val="20"/>
          <w:szCs w:val="20"/>
        </w:rPr>
        <w:t xml:space="preserve">Primary CTA (prominent): </w:t>
      </w:r>
      <w:r>
        <w:rPr>
          <w:rFonts w:ascii="Arial" w:cs="Arial" w:eastAsia="Arial" w:hAnsi="Arial"/>
          <w:color w:val="1A1A2E"/>
          <w:sz w:val="20"/>
          <w:szCs w:val="20"/>
        </w:rPr>
        <w:t xml:space="preserve">"Create your WavCash account to sign — it takes 60 seconds." Creating an account generates their wallet and signs the agreement onchain under their own account.</w:t>
      </w:r>
    </w:p>
    <w:p>
      <w:pPr>
        <w:pStyle w:val="ListParagraph"/>
        <w:numPr>
          <w:ilvl w:val="0"/>
          <w:numId w:val="2"/>
        </w:numPr>
        <w:spacing w:before="0" w:after="100"/>
      </w:pPr>
      <w:r>
        <w:rPr>
          <w:rFonts w:ascii="Arial" w:cs="Arial" w:eastAsia="Arial" w:hAnsi="Arial"/>
          <w:b/>
          <w:bCs/>
          <w:color w:val="1A1A2E"/>
          <w:sz w:val="20"/>
          <w:szCs w:val="20"/>
        </w:rPr>
        <w:t xml:space="preserve">Secondary option (smaller text below): </w:t>
      </w:r>
      <w:r>
        <w:rPr>
          <w:rFonts w:ascii="Arial" w:cs="Arial" w:eastAsia="Arial" w:hAnsi="Arial"/>
          <w:color w:val="1A1A2E"/>
          <w:sz w:val="20"/>
          <w:szCs w:val="20"/>
        </w:rPr>
        <w:t xml:space="preserve">"Sign without creating an account." If chosen, WavCash signs onchain using a custodial key on their behalf and records their acknowledgement. They can claim their account later.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F2FF" w:val="clear"/>
            <w:tcMar>
              <w:top w:type="dxa" w:w="120"/>
              <w:left w:type="dxa" w:w="120"/>
              <w:bottom w:type="dxa" w:w="120"/>
              <w:right w:type="dxa" w:w="80"/>
            </w:tcMar>
          </w:tcPr>
          <w:p>
            <w:pPr>
              <w:jc w:val="center"/>
            </w:pPr>
            <w:r>
              <w:rPr>
                <w:rFonts w:ascii="Arial" w:cs="Arial" w:eastAsia="Arial" w:hAnsi="Arial"/>
                <w:b/>
                <w:bCs/>
                <w:color w:val="4F46E5"/>
                <w:sz w:val="18"/>
                <w:szCs w:val="18"/>
              </w:rPr>
              <w:t xml:space="preserve">ℹ️</w:t>
            </w:r>
          </w:p>
        </w:tc>
        <w:tc>
          <w:tcPr>
            <w:tcW w:type="dxa" w:w="9160"/>
            <w:tcBorders>
              <w:top w:val="none" w:color="FFFFFF" w:sz="0"/>
              <w:left w:val="none" w:color="FFFFFF" w:sz="0"/>
              <w:bottom w:val="none" w:color="FFFFFF" w:sz="0"/>
              <w:right w:val="none" w:color="FFFFFF" w:sz="0"/>
            </w:tcBorders>
            <w:shd w:fill="EEF2FF" w:val="clear"/>
            <w:tcMar>
              <w:top w:type="dxa" w:w="120"/>
              <w:left w:type="dxa" w:w="120"/>
              <w:bottom w:type="dxa" w:w="120"/>
              <w:right w:type="dxa" w:w="120"/>
            </w:tcMar>
          </w:tcPr>
          <w:p>
            <w:pPr>
              <w:spacing w:after="0"/>
            </w:pPr>
            <w:r>
              <w:rPr>
                <w:rFonts w:ascii="Arial" w:cs="Arial" w:eastAsia="Arial" w:hAnsi="Arial"/>
                <w:color w:val="1A1A2E"/>
                <w:sz w:val="20"/>
                <w:szCs w:val="20"/>
              </w:rPr>
              <w:t xml:space="preserve">It is the agreement creator's responsibility to ensure all parties sign. An agreement does not become Active until all contributors have signed. WavCash sends reminder emails to unsigned contributors but does not enforce signing on behalf of the creator.</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Agreement Status &amp; Management</w:t>
      </w:r>
    </w:p>
    <w:p>
      <w:pPr>
        <w:pStyle w:val="ListParagraph"/>
        <w:numPr>
          <w:ilvl w:val="0"/>
          <w:numId w:val="2"/>
        </w:numPr>
        <w:spacing w:before="0" w:after="100"/>
      </w:pPr>
      <w:r>
        <w:rPr>
          <w:rFonts w:ascii="Arial" w:cs="Arial" w:eastAsia="Arial" w:hAnsi="Arial"/>
          <w:b/>
          <w:bCs/>
          <w:color w:val="1A1A2E"/>
          <w:sz w:val="20"/>
          <w:szCs w:val="20"/>
        </w:rPr>
        <w:t xml:space="preserve">Splits tab</w:t>
      </w:r>
      <w:r>
        <w:rPr>
          <w:rFonts w:ascii="Arial" w:cs="Arial" w:eastAsia="Arial" w:hAnsi="Arial"/>
          <w:color w:val="1A1A2E"/>
          <w:sz w:val="20"/>
          <w:szCs w:val="20"/>
        </w:rPr>
        <w:t xml:space="preserve"> — all agreements as creator and as contributor</w:t>
      </w:r>
    </w:p>
    <w:p>
      <w:pPr>
        <w:pStyle w:val="ListParagraph"/>
        <w:numPr>
          <w:ilvl w:val="0"/>
          <w:numId w:val="2"/>
        </w:numPr>
        <w:spacing w:before="0" w:after="100"/>
      </w:pPr>
      <w:r>
        <w:rPr>
          <w:rFonts w:ascii="Arial" w:cs="Arial" w:eastAsia="Arial" w:hAnsi="Arial"/>
          <w:b/>
          <w:bCs/>
          <w:color w:val="1A1A2E"/>
          <w:sz w:val="20"/>
          <w:szCs w:val="20"/>
        </w:rPr>
        <w:t xml:space="preserve">Statuses: </w:t>
      </w:r>
      <w:r>
        <w:rPr>
          <w:rFonts w:ascii="Arial" w:cs="Arial" w:eastAsia="Arial" w:hAnsi="Arial"/>
          <w:color w:val="1A1A2E"/>
          <w:sz w:val="20"/>
          <w:szCs w:val="20"/>
        </w:rPr>
        <w:t xml:space="preserve">Draft / Awaiting Signatures (X of Y signed) / Active / Voided</w:t>
      </w:r>
    </w:p>
    <w:p>
      <w:pPr>
        <w:pStyle w:val="ListParagraph"/>
        <w:numPr>
          <w:ilvl w:val="0"/>
          <w:numId w:val="2"/>
        </w:numPr>
        <w:spacing w:before="0" w:after="100"/>
      </w:pPr>
      <w:r>
        <w:rPr>
          <w:rFonts w:ascii="Arial" w:cs="Arial" w:eastAsia="Arial" w:hAnsi="Arial"/>
          <w:b/>
          <w:bCs/>
          <w:color w:val="1A1A2E"/>
          <w:sz w:val="20"/>
          <w:szCs w:val="20"/>
        </w:rPr>
        <w:t xml:space="preserve">Each card shows: </w:t>
      </w:r>
      <w:r>
        <w:rPr>
          <w:rFonts w:ascii="Arial" w:cs="Arial" w:eastAsia="Arial" w:hAnsi="Arial"/>
          <w:color w:val="1A1A2E"/>
          <w:sz w:val="20"/>
          <w:szCs w:val="20"/>
        </w:rPr>
        <w:t xml:space="preserve">track name, creation date, contributors count, status</w:t>
      </w:r>
    </w:p>
    <w:p>
      <w:pPr>
        <w:pStyle w:val="ListParagraph"/>
        <w:numPr>
          <w:ilvl w:val="0"/>
          <w:numId w:val="2"/>
        </w:numPr>
        <w:spacing w:before="0" w:after="100"/>
      </w:pPr>
      <w:r>
        <w:rPr>
          <w:rFonts w:ascii="Arial" w:cs="Arial" w:eastAsia="Arial" w:hAnsi="Arial"/>
          <w:b/>
          <w:bCs/>
          <w:color w:val="1A1A2E"/>
          <w:sz w:val="20"/>
          <w:szCs w:val="20"/>
        </w:rPr>
        <w:t xml:space="preserve">Active agreements</w:t>
      </w:r>
      <w:r>
        <w:rPr>
          <w:rFonts w:ascii="Arial" w:cs="Arial" w:eastAsia="Arial" w:hAnsi="Arial"/>
          <w:color w:val="1A1A2E"/>
          <w:sz w:val="20"/>
          <w:szCs w:val="20"/>
        </w:rPr>
        <w:t xml:space="preserve"> — contributor table with names and shares (no wallet addresses or technical identifiers)</w:t>
      </w:r>
    </w:p>
    <w:p>
      <w:pPr>
        <w:pStyle w:val="ListParagraph"/>
        <w:numPr>
          <w:ilvl w:val="0"/>
          <w:numId w:val="2"/>
        </w:numPr>
        <w:spacing w:before="0" w:after="100"/>
      </w:pPr>
      <w:r>
        <w:rPr>
          <w:rFonts w:ascii="Arial" w:cs="Arial" w:eastAsia="Arial" w:hAnsi="Arial"/>
          <w:b/>
          <w:bCs/>
          <w:color w:val="1A1A2E"/>
          <w:sz w:val="20"/>
          <w:szCs w:val="20"/>
        </w:rPr>
        <w:t xml:space="preserve">Amendment flow: </w:t>
      </w:r>
      <w:r>
        <w:rPr>
          <w:rFonts w:ascii="Arial" w:cs="Arial" w:eastAsia="Arial" w:hAnsi="Arial"/>
          <w:color w:val="1A1A2E"/>
          <w:sz w:val="20"/>
          <w:szCs w:val="20"/>
        </w:rPr>
        <w:t xml:space="preserve">creator proposes amendment, all parties must re-sign</w:t>
      </w:r>
    </w:p>
    <w:p>
      <w:r>
        <w:br w:type="page"/>
      </w:r>
    </w:p>
    <w:p>
      <w:pPr>
        <w:pStyle w:val="Heading2"/>
        <w:spacing w:before="360" w:after="160"/>
      </w:pPr>
      <w:r>
        <w:rPr>
          <w:rFonts w:ascii="Arial" w:cs="Arial" w:eastAsia="Arial" w:hAnsi="Arial"/>
          <w:b/>
          <w:bCs/>
          <w:color w:val="1A1A2E"/>
          <w:sz w:val="28"/>
          <w:szCs w:val="28"/>
        </w:rPr>
        <w:t xml:space="preserve">4.7 Enterprise Multi-Seat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Access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Enterprise tier only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Who it's for</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Any rights holder or organization managing 3 or more artists or works — managers, small labels, independent publishers, collective groups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Seats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3-seat ($45/mo annual) or 5-seat ($75/mo annual)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Core value</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All Premium features applied across an entire roster, with consolidated visibility and team access controls.</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Account Structure</w:t>
      </w:r>
    </w:p>
    <w:p>
      <w:pPr>
        <w:pStyle w:val="ListParagraph"/>
        <w:numPr>
          <w:ilvl w:val="0"/>
          <w:numId w:val="2"/>
        </w:numPr>
        <w:spacing w:before="0" w:after="100"/>
      </w:pPr>
      <w:r>
        <w:rPr>
          <w:rFonts w:ascii="Arial" w:cs="Arial" w:eastAsia="Arial" w:hAnsi="Arial"/>
          <w:b/>
          <w:bCs/>
          <w:color w:val="1A1A2E"/>
          <w:sz w:val="20"/>
          <w:szCs w:val="20"/>
        </w:rPr>
        <w:t xml:space="preserve">One Enterprise account</w:t>
      </w:r>
      <w:r>
        <w:rPr>
          <w:rFonts w:ascii="Arial" w:cs="Arial" w:eastAsia="Arial" w:hAnsi="Arial"/>
          <w:color w:val="1A1A2E"/>
          <w:sz w:val="20"/>
          <w:szCs w:val="20"/>
        </w:rPr>
        <w:t xml:space="preserve"> contains unlimited Artist Profiles. Seats = team member logins.</w:t>
      </w:r>
    </w:p>
    <w:p>
      <w:pPr>
        <w:pStyle w:val="ListParagraph"/>
        <w:numPr>
          <w:ilvl w:val="0"/>
          <w:numId w:val="2"/>
        </w:numPr>
        <w:spacing w:before="0" w:after="100"/>
      </w:pPr>
      <w:r>
        <w:rPr>
          <w:rFonts w:ascii="Arial" w:cs="Arial" w:eastAsia="Arial" w:hAnsi="Arial"/>
          <w:b/>
          <w:bCs/>
          <w:color w:val="1A1A2E"/>
          <w:sz w:val="20"/>
          <w:szCs w:val="20"/>
        </w:rPr>
        <w:t xml:space="preserve">Account Owner</w:t>
      </w:r>
      <w:r>
        <w:rPr>
          <w:rFonts w:ascii="Arial" w:cs="Arial" w:eastAsia="Arial" w:hAnsi="Arial"/>
          <w:color w:val="1A1A2E"/>
          <w:sz w:val="20"/>
          <w:szCs w:val="20"/>
        </w:rPr>
        <w:t xml:space="preserve"> — full admin: add/remove seats, add/remove artist profiles, billing</w:t>
      </w:r>
    </w:p>
    <w:p>
      <w:pPr>
        <w:pStyle w:val="ListParagraph"/>
        <w:numPr>
          <w:ilvl w:val="0"/>
          <w:numId w:val="2"/>
        </w:numPr>
        <w:spacing w:before="0" w:after="100"/>
      </w:pPr>
      <w:r>
        <w:rPr>
          <w:rFonts w:ascii="Arial" w:cs="Arial" w:eastAsia="Arial" w:hAnsi="Arial"/>
          <w:b/>
          <w:bCs/>
          <w:color w:val="1A1A2E"/>
          <w:sz w:val="20"/>
          <w:szCs w:val="20"/>
        </w:rPr>
        <w:t xml:space="preserve">Additional seats</w:t>
      </w:r>
      <w:r>
        <w:rPr>
          <w:rFonts w:ascii="Arial" w:cs="Arial" w:eastAsia="Arial" w:hAnsi="Arial"/>
          <w:color w:val="1A1A2E"/>
          <w:sz w:val="20"/>
          <w:szCs w:val="20"/>
        </w:rPr>
        <w:t xml:space="preserve"> — Artist-level or Full Access permissions assigned by Account Owner</w:t>
      </w:r>
    </w:p>
    <w:p>
      <w:pPr>
        <w:spacing w:before="0" w:after="160"/>
      </w:pPr>
      <w:r>
        <w:t xml:space="preserve"/>
      </w:r>
    </w:p>
    <w:p>
      <w:pPr>
        <w:pStyle w:val="Heading3"/>
        <w:spacing w:before="280" w:after="120"/>
      </w:pPr>
      <w:r>
        <w:rPr>
          <w:rFonts w:ascii="Arial" w:cs="Arial" w:eastAsia="Arial" w:hAnsi="Arial"/>
          <w:b/>
          <w:bCs/>
          <w:color w:val="4F46E5"/>
          <w:sz w:val="24"/>
          <w:szCs w:val="24"/>
        </w:rPr>
        <w:t xml:space="preserve">Enterprise Dashboard Features (MVP)</w:t>
      </w:r>
    </w:p>
    <w:p>
      <w:pPr>
        <w:pStyle w:val="ListParagraph"/>
        <w:numPr>
          <w:ilvl w:val="0"/>
          <w:numId w:val="2"/>
        </w:numPr>
        <w:spacing w:before="0" w:after="100"/>
      </w:pPr>
      <w:r>
        <w:rPr>
          <w:rFonts w:ascii="Arial" w:cs="Arial" w:eastAsia="Arial" w:hAnsi="Arial"/>
          <w:b/>
          <w:bCs/>
          <w:color w:val="1A1A2E"/>
          <w:sz w:val="20"/>
          <w:szCs w:val="20"/>
        </w:rPr>
        <w:t xml:space="preserve">Roster Overview</w:t>
      </w:r>
      <w:r>
        <w:rPr>
          <w:rFonts w:ascii="Arial" w:cs="Arial" w:eastAsia="Arial" w:hAnsi="Arial"/>
          <w:color w:val="1A1A2E"/>
          <w:sz w:val="20"/>
          <w:szCs w:val="20"/>
        </w:rPr>
        <w:t xml:space="preserve"> — consolidated view: total earnings across roster, top earning artists, pending CMO registrations count, active splits count</w:t>
      </w:r>
    </w:p>
    <w:p>
      <w:pPr>
        <w:pStyle w:val="ListParagraph"/>
        <w:numPr>
          <w:ilvl w:val="0"/>
          <w:numId w:val="2"/>
        </w:numPr>
        <w:spacing w:before="0" w:after="100"/>
      </w:pPr>
      <w:r>
        <w:rPr>
          <w:rFonts w:ascii="Arial" w:cs="Arial" w:eastAsia="Arial" w:hAnsi="Arial"/>
          <w:b/>
          <w:bCs/>
          <w:color w:val="1A1A2E"/>
          <w:sz w:val="20"/>
          <w:szCs w:val="20"/>
        </w:rPr>
        <w:t xml:space="preserve">Per-Artist Drill-Down</w:t>
      </w:r>
      <w:r>
        <w:rPr>
          <w:rFonts w:ascii="Arial" w:cs="Arial" w:eastAsia="Arial" w:hAnsi="Arial"/>
          <w:color w:val="1A1A2E"/>
          <w:sz w:val="20"/>
          <w:szCs w:val="20"/>
        </w:rPr>
        <w:t xml:space="preserve"> — full individual dashboard for each artist profile (identical to Premium experience)</w:t>
      </w:r>
    </w:p>
    <w:p>
      <w:pPr>
        <w:pStyle w:val="ListParagraph"/>
        <w:numPr>
          <w:ilvl w:val="0"/>
          <w:numId w:val="2"/>
        </w:numPr>
        <w:spacing w:before="0" w:after="100"/>
      </w:pPr>
      <w:r>
        <w:rPr>
          <w:rFonts w:ascii="Arial" w:cs="Arial" w:eastAsia="Arial" w:hAnsi="Arial"/>
          <w:b/>
          <w:bCs/>
          <w:color w:val="1A1A2E"/>
          <w:sz w:val="20"/>
          <w:szCs w:val="20"/>
        </w:rPr>
        <w:t xml:space="preserve">Consolidated Earnings Chart</w:t>
      </w:r>
      <w:r>
        <w:rPr>
          <w:rFonts w:ascii="Arial" w:cs="Arial" w:eastAsia="Arial" w:hAnsi="Arial"/>
          <w:color w:val="1A1A2E"/>
          <w:sz w:val="20"/>
          <w:szCs w:val="20"/>
        </w:rPr>
        <w:t xml:space="preserve"> — total roster earnings over time, toggleable by artist</w:t>
      </w:r>
    </w:p>
    <w:p>
      <w:pPr>
        <w:pStyle w:val="ListParagraph"/>
        <w:numPr>
          <w:ilvl w:val="0"/>
          <w:numId w:val="2"/>
        </w:numPr>
        <w:spacing w:before="0" w:after="100"/>
      </w:pPr>
      <w:r>
        <w:rPr>
          <w:rFonts w:ascii="Arial" w:cs="Arial" w:eastAsia="Arial" w:hAnsi="Arial"/>
          <w:b/>
          <w:bCs/>
          <w:color w:val="1A1A2E"/>
          <w:sz w:val="20"/>
          <w:szCs w:val="20"/>
        </w:rPr>
        <w:t xml:space="preserve">Roster Reclaim Status</w:t>
      </w:r>
      <w:r>
        <w:rPr>
          <w:rFonts w:ascii="Arial" w:cs="Arial" w:eastAsia="Arial" w:hAnsi="Arial"/>
          <w:color w:val="1A1A2E"/>
          <w:sz w:val="20"/>
          <w:szCs w:val="20"/>
        </w:rPr>
        <w:t xml:space="preserve"> — grid showing CMO registration status for every artist across all CMOs</w:t>
      </w:r>
    </w:p>
    <w:p>
      <w:pPr>
        <w:pStyle w:val="ListParagraph"/>
        <w:numPr>
          <w:ilvl w:val="0"/>
          <w:numId w:val="2"/>
        </w:numPr>
        <w:spacing w:before="0" w:after="100"/>
      </w:pPr>
      <w:r>
        <w:rPr>
          <w:rFonts w:ascii="Arial" w:cs="Arial" w:eastAsia="Arial" w:hAnsi="Arial"/>
          <w:b/>
          <w:bCs/>
          <w:color w:val="1A1A2E"/>
          <w:sz w:val="20"/>
          <w:szCs w:val="20"/>
        </w:rPr>
        <w:t xml:space="preserve">Roster Splits Overview</w:t>
      </w:r>
      <w:r>
        <w:rPr>
          <w:rFonts w:ascii="Arial" w:cs="Arial" w:eastAsia="Arial" w:hAnsi="Arial"/>
          <w:color w:val="1A1A2E"/>
          <w:sz w:val="20"/>
          <w:szCs w:val="20"/>
        </w:rPr>
        <w:t xml:space="preserve"> — all active split agreements across all roster artists</w:t>
      </w:r>
    </w:p>
    <w:p>
      <w:pPr>
        <w:pStyle w:val="ListParagraph"/>
        <w:numPr>
          <w:ilvl w:val="0"/>
          <w:numId w:val="2"/>
        </w:numPr>
        <w:spacing w:before="0" w:after="100"/>
      </w:pPr>
      <w:r>
        <w:rPr>
          <w:rFonts w:ascii="Arial" w:cs="Arial" w:eastAsia="Arial" w:hAnsi="Arial"/>
          <w:b/>
          <w:bCs/>
          <w:color w:val="1A1A2E"/>
          <w:sz w:val="20"/>
          <w:szCs w:val="20"/>
        </w:rPr>
        <w:t xml:space="preserve">Team Management</w:t>
      </w:r>
      <w:r>
        <w:rPr>
          <w:rFonts w:ascii="Arial" w:cs="Arial" w:eastAsia="Arial" w:hAnsi="Arial"/>
          <w:color w:val="1A1A2E"/>
          <w:sz w:val="20"/>
          <w:szCs w:val="20"/>
        </w:rPr>
        <w:t xml:space="preserve"> — invite team members, assign permissions, revoke access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1FAE5" w:val="clear"/>
            <w:tcMar>
              <w:top w:type="dxa" w:w="120"/>
              <w:left w:type="dxa" w:w="120"/>
              <w:bottom w:type="dxa" w:w="120"/>
              <w:right w:type="dxa" w:w="80"/>
            </w:tcMar>
          </w:tcPr>
          <w:p>
            <w:pPr>
              <w:jc w:val="center"/>
            </w:pPr>
            <w:r>
              <w:rPr>
                <w:rFonts w:ascii="Arial" w:cs="Arial" w:eastAsia="Arial" w:hAnsi="Arial"/>
                <w:b/>
                <w:bCs/>
                <w:color w:val="16A34A"/>
                <w:sz w:val="18"/>
                <w:szCs w:val="18"/>
              </w:rPr>
              <w:t xml:space="preserve">📋</w:t>
            </w:r>
          </w:p>
        </w:tc>
        <w:tc>
          <w:tcPr>
            <w:tcW w:type="dxa" w:w="9160"/>
            <w:tcBorders>
              <w:top w:val="none" w:color="FFFFFF" w:sz="0"/>
              <w:left w:val="none" w:color="FFFFFF" w:sz="0"/>
              <w:bottom w:val="none" w:color="FFFFFF" w:sz="0"/>
              <w:right w:val="none" w:color="FFFFFF" w:sz="0"/>
            </w:tcBorders>
            <w:shd w:fill="D1FAE5" w:val="clear"/>
            <w:tcMar>
              <w:top w:type="dxa" w:w="120"/>
              <w:left w:type="dxa" w:w="120"/>
              <w:bottom w:type="dxa" w:w="120"/>
              <w:right w:type="dxa" w:w="120"/>
            </w:tcMar>
          </w:tcPr>
          <w:p>
            <w:pPr>
              <w:spacing w:after="0"/>
            </w:pPr>
            <w:r>
              <w:rPr>
                <w:rFonts w:ascii="Arial" w:cs="Arial" w:eastAsia="Arial" w:hAnsi="Arial"/>
                <w:color w:val="1A1A2E"/>
                <w:sz w:val="20"/>
                <w:szCs w:val="20"/>
              </w:rPr>
              <w:t xml:space="preserve">Full Enterprise tooling — bulk payout management, white-label royalty statements, and label-level split contract management — launches in Phase 2 alongside the payment infrastructure. This sequencing is intentional: Enterprise customers arriving when payouts go live bring their entire roster into the payment rails from day one.</w:t>
            </w:r>
          </w:p>
        </w:tc>
      </w:tr>
    </w:tbl>
    <w:p>
      <w:r>
        <w:br w:type="page"/>
      </w:r>
    </w:p>
    <w:p>
      <w:pPr>
        <w:pStyle w:val="Heading1"/>
        <w:pBdr>
          <w:bottom w:val="single" w:color="4F46E5" w:sz="4" w:space="6"/>
        </w:pBdr>
        <w:spacing w:before="480" w:after="200"/>
      </w:pPr>
      <w:r>
        <w:rPr>
          <w:rFonts w:ascii="Arial" w:cs="Arial" w:eastAsia="Arial" w:hAnsi="Arial"/>
          <w:b/>
          <w:bCs/>
          <w:color w:val="1A1A2E"/>
          <w:sz w:val="36"/>
          <w:szCs w:val="36"/>
        </w:rPr>
        <w:t xml:space="preserve">5. Technical Architecture</w:t>
      </w:r>
    </w:p>
    <w:p>
      <w:pPr>
        <w:pStyle w:val="Heading2"/>
        <w:spacing w:before="360" w:after="160"/>
      </w:pPr>
      <w:r>
        <w:rPr>
          <w:rFonts w:ascii="Arial" w:cs="Arial" w:eastAsia="Arial" w:hAnsi="Arial"/>
          <w:b/>
          <w:bCs/>
          <w:color w:val="1A1A2E"/>
          <w:sz w:val="28"/>
          <w:szCs w:val="28"/>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40"/>
        <w:gridCol w:w="3780"/>
      </w:tblGrid>
      <w:tr>
        <w:tc>
          <w:tcPr>
            <w:tcW w:type="dxa" w:w="23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Layer</w:t>
            </w:r>
          </w:p>
        </w:tc>
        <w:tc>
          <w:tcPr>
            <w:tcW w:type="dxa" w:w="32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Technology</w:t>
            </w:r>
          </w:p>
        </w:tc>
        <w:tc>
          <w:tcPr>
            <w:tcW w:type="dxa" w:w="378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Rationale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Frontend</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Next.js 14 (App Router) + TypeScript</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SSR, API routes, type safety. Vercel deployment in one command.</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Styling</w:t>
            </w:r>
          </w:p>
        </w:tc>
        <w:tc>
          <w:tcPr>
            <w:tcW w:type="dxa" w:w="32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Tailwind CSS + shadcn/ui</w:t>
            </w:r>
          </w:p>
        </w:tc>
        <w:tc>
          <w:tcPr>
            <w:tcW w:type="dxa" w:w="3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Rapid, consistent UI. No custom CSS overhead.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Database + Auth</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Supabase (PostgreSQL + Auth + Vault)</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Managed DB, RLS, realtime, encrypted key storage. No server management.</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Blockchain</w:t>
            </w:r>
          </w:p>
        </w:tc>
        <w:tc>
          <w:tcPr>
            <w:tcW w:type="dxa" w:w="32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AVAX C-Chain (EVM)</w:t>
            </w:r>
          </w:p>
        </w:tc>
        <w:tc>
          <w:tcPr>
            <w:tcW w:type="dxa" w:w="3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Solidity contracts, low fees, EVM tooling (Hardhat, ethers.js).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Wallet (custodial)</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ethers.js + Supabase Vault</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Silent wallet creation at signup. Keys encrypted in Supabase Vault (KMS-backed).</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Oracle pipeline</w:t>
            </w:r>
          </w:p>
        </w:tc>
        <w:tc>
          <w:tcPr>
            <w:tcW w:type="dxa" w:w="32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Supabase Edge Functions (cron)</w:t>
            </w:r>
          </w:p>
        </w:tc>
        <w:tc>
          <w:tcPr>
            <w:tcW w:type="dxa" w:w="3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Daily stream count fetch and calculation. Offchain for cost efficiency.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Rate verification</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Chainlink Data Feeds → AVAX C-Chain</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Per-stream rates stored onchain and independently verified. Updated quarterly. Abstracted from users.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Attestation</w:t>
            </w:r>
          </w:p>
        </w:tc>
        <w:tc>
          <w:tcPr>
            <w:tcW w:type="dxa" w:w="32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AVAX C-Chain (daily merkle root)</w:t>
            </w:r>
          </w:p>
        </w:tc>
        <w:tc>
          <w:tcPr>
            <w:tcW w:type="dxa" w:w="3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One transaction per day covers all data. Tamper-proof permanent record. ~$0.001/day.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Email</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Resend</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Transactional email for signing invites, status updates, confirmations.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Deployment</w:t>
            </w:r>
          </w:p>
        </w:tc>
        <w:tc>
          <w:tcPr>
            <w:tcW w:type="dxa" w:w="32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Vercel</w:t>
            </w:r>
          </w:p>
        </w:tc>
        <w:tc>
          <w:tcPr>
            <w:tcW w:type="dxa" w:w="3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Automatic deploys from Git. Edge functions for API performance.</w:t>
            </w:r>
          </w:p>
        </w:tc>
      </w:tr>
    </w:tbl>
    <w:p>
      <w:pPr>
        <w:spacing w:before="0" w:after="160"/>
      </w:pPr>
      <w:r>
        <w:t xml:space="preserve"/>
      </w:r>
    </w:p>
    <w:p>
      <w:pPr>
        <w:pStyle w:val="Heading2"/>
        <w:spacing w:before="360" w:after="160"/>
      </w:pPr>
      <w:r>
        <w:rPr>
          <w:rFonts w:ascii="Arial" w:cs="Arial" w:eastAsia="Arial" w:hAnsi="Arial"/>
          <w:b/>
          <w:bCs/>
          <w:color w:val="1A1A2E"/>
          <w:sz w:val="28"/>
          <w:szCs w:val="28"/>
        </w:rPr>
        <w:t xml:space="preserve">5.2 Oracle Architecture — Detail</w:t>
      </w:r>
    </w:p>
    <w:p>
      <w:pPr>
        <w:pStyle w:val="Heading3"/>
        <w:spacing w:before="280" w:after="120"/>
      </w:pPr>
      <w:r>
        <w:rPr>
          <w:rFonts w:ascii="Arial" w:cs="Arial" w:eastAsia="Arial" w:hAnsi="Arial"/>
          <w:b/>
          <w:bCs/>
          <w:color w:val="4F46E5"/>
          <w:sz w:val="24"/>
          <w:szCs w:val="24"/>
        </w:rPr>
        <w:t xml:space="preserve">Why Offchain + Onchain Attestation (Not Chainlink Functions)</w:t>
      </w:r>
    </w:p>
    <w:p>
      <w:pPr>
        <w:spacing w:before="0" w:after="140"/>
      </w:pPr>
      <w:r>
        <w:rPr>
          <w:rFonts w:ascii="Arial" w:cs="Arial" w:eastAsia="Arial" w:hAnsi="Arial"/>
          <w:color w:val="1A1A2E"/>
          <w:sz w:val="20"/>
          <w:szCs w:val="20"/>
        </w:rPr>
        <w:t xml:space="preserve">Chainlink Functions costs approximately $2.09 per request. At scale with daily refreshes across thousands of rights holders and multiple DSPs per artist, this produces infrastructure costs that exceed subscription revenue. The hybrid approach below delivers equivalent trust guarantees at a fraction of the cost: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Component</w:t>
            </w:r>
          </w:p>
        </w:tc>
        <w:tc>
          <w:tcPr>
            <w:tcW w:type="dxa" w:w="312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Approach</w:t>
            </w:r>
          </w:p>
        </w:tc>
        <w:tc>
          <w:tcPr>
            <w:tcW w:type="dxa" w:w="312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Cost at 10K users/day</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Stream count fetch</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Offchain cron (Supabase Edge Functions)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~$0 (within hosting plan)</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Rate data</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Chainlink Data Feeds onchain</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~$0 (quarterly updates, ~20 calls/year)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Data attestation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1 AVAX tx/day (merkle root)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~$0.001/day</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Chainlink Functions alternative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Per-request, per artist, per DSP</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~$627,000/month</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Daily Pipeline</w:t>
      </w:r>
    </w:p>
    <w:p>
      <w:pPr>
        <w:pStyle w:val="ListParagraph"/>
        <w:numPr>
          <w:ilvl w:val="0"/>
          <w:numId w:val="3"/>
        </w:numPr>
        <w:spacing w:before="0" w:after="100"/>
      </w:pPr>
      <w:r>
        <w:rPr>
          <w:rFonts w:ascii="Arial" w:cs="Arial" w:eastAsia="Arial" w:hAnsi="Arial"/>
          <w:b/>
          <w:bCs/>
          <w:color w:val="1A1A2E"/>
          <w:sz w:val="20"/>
          <w:szCs w:val="20"/>
        </w:rPr>
        <w:t xml:space="preserve">Stream count job</w:t>
      </w:r>
      <w:r>
        <w:rPr>
          <w:rFonts w:ascii="Arial" w:cs="Arial" w:eastAsia="Arial" w:hAnsi="Arial"/>
          <w:color w:val="1A1A2E"/>
          <w:sz w:val="20"/>
          <w:szCs w:val="20"/>
        </w:rPr>
        <w:t xml:space="preserve"> (Supabase cron, daily): fetch stream counts from DSP APIs per ISRC, store in oracle_snapshots table</w:t>
      </w:r>
    </w:p>
    <w:p>
      <w:pPr>
        <w:pStyle w:val="ListParagraph"/>
        <w:numPr>
          <w:ilvl w:val="0"/>
          <w:numId w:val="3"/>
        </w:numPr>
        <w:spacing w:before="0" w:after="100"/>
      </w:pPr>
      <w:r>
        <w:rPr>
          <w:rFonts w:ascii="Arial" w:cs="Arial" w:eastAsia="Arial" w:hAnsi="Arial"/>
          <w:b/>
          <w:bCs/>
          <w:color w:val="1A1A2E"/>
          <w:sz w:val="20"/>
          <w:szCs w:val="20"/>
        </w:rPr>
        <w:t xml:space="preserve">Rate fetch</w:t>
      </w:r>
      <w:r>
        <w:rPr>
          <w:rFonts w:ascii="Arial" w:cs="Arial" w:eastAsia="Arial" w:hAnsi="Arial"/>
          <w:color w:val="1A1A2E"/>
          <w:sz w:val="20"/>
          <w:szCs w:val="20"/>
        </w:rPr>
        <w:t xml:space="preserve"> (quarterly): Chainlink Data Feeds deliver per-stream rates to AVAX C-Chain rates contract. Read into calculation at runtime.</w:t>
      </w:r>
    </w:p>
    <w:p>
      <w:pPr>
        <w:pStyle w:val="ListParagraph"/>
        <w:numPr>
          <w:ilvl w:val="0"/>
          <w:numId w:val="3"/>
        </w:numPr>
        <w:spacing w:before="0" w:after="100"/>
      </w:pPr>
      <w:r>
        <w:rPr>
          <w:rFonts w:ascii="Arial" w:cs="Arial" w:eastAsia="Arial" w:hAnsi="Arial"/>
          <w:b/>
          <w:bCs/>
          <w:color w:val="1A1A2E"/>
          <w:sz w:val="20"/>
          <w:szCs w:val="20"/>
        </w:rPr>
        <w:t xml:space="preserve">Calculation</w:t>
      </w:r>
      <w:r>
        <w:rPr>
          <w:rFonts w:ascii="Arial" w:cs="Arial" w:eastAsia="Arial" w:hAnsi="Arial"/>
          <w:color w:val="1A1A2E"/>
          <w:sz w:val="20"/>
          <w:szCs w:val="20"/>
        </w:rPr>
        <w:t xml:space="preserve"> (on dashboard load or post-snapshot): period delta × verified rate = estimated earnings per track per DSP</w:t>
      </w:r>
    </w:p>
    <w:p>
      <w:pPr>
        <w:pStyle w:val="ListParagraph"/>
        <w:numPr>
          <w:ilvl w:val="0"/>
          <w:numId w:val="3"/>
        </w:numPr>
        <w:spacing w:before="0" w:after="100"/>
      </w:pPr>
      <w:r>
        <w:rPr>
          <w:rFonts w:ascii="Arial" w:cs="Arial" w:eastAsia="Arial" w:hAnsi="Arial"/>
          <w:b/>
          <w:bCs/>
          <w:color w:val="1A1A2E"/>
          <w:sz w:val="20"/>
          <w:szCs w:val="20"/>
        </w:rPr>
        <w:t xml:space="preserve">Attestation</w:t>
      </w:r>
      <w:r>
        <w:rPr>
          <w:rFonts w:ascii="Arial" w:cs="Arial" w:eastAsia="Arial" w:hAnsi="Arial"/>
          <w:color w:val="1A1A2E"/>
          <w:sz w:val="20"/>
          <w:szCs w:val="20"/>
        </w:rPr>
        <w:t xml:space="preserve"> (once daily, after snapshot complete): compute SHA-256 merkle root of all snapshot data, write to AVAX C-Chain DataAttestation contract. Records: timestamp, root hash, snapshot ID.</w:t>
      </w:r>
    </w:p>
    <w:p>
      <w:pPr>
        <w:pStyle w:val="ListParagraph"/>
        <w:numPr>
          <w:ilvl w:val="0"/>
          <w:numId w:val="3"/>
        </w:numPr>
        <w:spacing w:before="0" w:after="100"/>
      </w:pPr>
      <w:r>
        <w:rPr>
          <w:rFonts w:ascii="Arial" w:cs="Arial" w:eastAsia="Arial" w:hAnsi="Arial"/>
          <w:b/>
          <w:bCs/>
          <w:color w:val="1A1A2E"/>
          <w:sz w:val="20"/>
          <w:szCs w:val="20"/>
        </w:rPr>
        <w:t xml:space="preserve">User-facing display</w:t>
      </w:r>
      <w:r>
        <w:rPr>
          <w:rFonts w:ascii="Arial" w:cs="Arial" w:eastAsia="Arial" w:hAnsi="Arial"/>
          <w:color w:val="1A1A2E"/>
          <w:sz w:val="20"/>
          <w:szCs w:val="20"/>
        </w:rPr>
        <w:t xml:space="preserve">: all data shows "Verified" badge once attestation is confirmed. No blockchain terminology in UI.</w:t>
      </w:r>
    </w:p>
    <w:p>
      <w:pPr>
        <w:spacing w:before="0" w:after="160"/>
      </w:pPr>
      <w:r>
        <w:t xml:space="preserve"/>
      </w:r>
    </w:p>
    <w:p>
      <w:pPr>
        <w:pStyle w:val="Heading2"/>
        <w:spacing w:before="360" w:after="160"/>
      </w:pPr>
      <w:r>
        <w:rPr>
          <w:rFonts w:ascii="Arial" w:cs="Arial" w:eastAsia="Arial" w:hAnsi="Arial"/>
          <w:b/>
          <w:bCs/>
          <w:color w:val="1A1A2E"/>
          <w:sz w:val="28"/>
          <w:szCs w:val="28"/>
        </w:rPr>
        <w:t xml:space="preserve">5.3 Database Schema —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Table</w:t>
            </w:r>
          </w:p>
        </w:tc>
        <w:tc>
          <w:tcPr>
            <w:tcW w:type="dxa" w:w="666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Purpose</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users</w:t>
            </w:r>
          </w:p>
        </w:tc>
        <w:tc>
          <w:tcPr>
            <w:tcW w:type="dxa" w:w="6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Account — email, tier, country, role, WavCash ID, silent AVAX wallet address</w:t>
            </w:r>
          </w:p>
        </w:tc>
      </w:tr>
      <w:tr>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artists</w:t>
            </w:r>
          </w:p>
        </w:tc>
        <w:tc>
          <w:tcPr>
            <w:tcW w:type="dxa" w:w="6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Rights holder profile — stage name, Spotify URI, distributor, IPI, PRO memberships</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tracks</w:t>
            </w:r>
          </w:p>
        </w:tc>
        <w:tc>
          <w:tcPr>
            <w:tcW w:type="dxa" w:w="6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Catalog — title, ISRC, ISWC, release date, co-writers JSONB</w:t>
            </w:r>
          </w:p>
        </w:tc>
      </w:tr>
      <w:tr>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oracle_snapshots</w:t>
            </w:r>
          </w:p>
        </w:tc>
        <w:tc>
          <w:tcPr>
            <w:tcW w:type="dxa" w:w="6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Daily stream counts per track per DSP — delta used for period calculation</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dsp_rates</w:t>
            </w:r>
          </w:p>
        </w:tc>
        <w:tc>
          <w:tcPr>
            <w:tcW w:type="dxa" w:w="6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Per-stream rates by DSP and territory — sourced from Chainlink, updated quarterly</w:t>
            </w:r>
          </w:p>
        </w:tc>
      </w:tr>
      <w:tr>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royalty_statements</w:t>
            </w:r>
          </w:p>
        </w:tc>
        <w:tc>
          <w:tcPr>
            <w:tcW w:type="dxa" w:w="6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Uploaded distributor payouts — by track, DSP, period, amount</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attestations</w:t>
            </w:r>
          </w:p>
        </w:tc>
        <w:tc>
          <w:tcPr>
            <w:tcW w:type="dxa" w:w="6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Daily merkle root records — timestamp, root hash, AVAX tx hash, snapshot count</w:t>
            </w:r>
          </w:p>
        </w:tc>
      </w:tr>
      <w:tr>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cmo_registrations</w:t>
            </w:r>
          </w:p>
        </w:tc>
        <w:tc>
          <w:tcPr>
            <w:tcW w:type="dxa" w:w="6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Reclaim status per rights holder per CMO — documents, status, submission date</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splits</w:t>
            </w:r>
          </w:p>
        </w:tc>
        <w:tc>
          <w:tcPr>
            <w:tcW w:type="dxa" w:w="6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Split agreements — track, status, onchain address (not surfaced in UI)</w:t>
            </w:r>
          </w:p>
        </w:tc>
      </w:tr>
      <w:tr>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split_contributors</w:t>
            </w:r>
          </w:p>
        </w:tc>
        <w:tc>
          <w:tcPr>
            <w:tcW w:type="dxa" w:w="6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Per-agreement contributor — WavCash ID or email, legal name, share %, role, signed status</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sniffer_results</w:t>
            </w:r>
          </w:p>
        </w:tc>
        <w:tc>
          <w:tcPr>
            <w:tcW w:type="dxa" w:w="6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Pre-signup Sniffer outputs — linked to email on signup for dashboard pre-population</w:t>
            </w:r>
          </w:p>
        </w:tc>
      </w:tr>
    </w:tbl>
    <w:p>
      <w:pPr>
        <w:spacing w:before="0" w:after="160"/>
      </w:pPr>
      <w:r>
        <w:t xml:space="preserve"/>
      </w:r>
    </w:p>
    <w:p>
      <w:pPr>
        <w:pStyle w:val="Heading2"/>
        <w:spacing w:before="360" w:after="160"/>
      </w:pPr>
      <w:r>
        <w:rPr>
          <w:rFonts w:ascii="Arial" w:cs="Arial" w:eastAsia="Arial" w:hAnsi="Arial"/>
          <w:b/>
          <w:bCs/>
          <w:color w:val="1A1A2E"/>
          <w:sz w:val="28"/>
          <w:szCs w:val="28"/>
        </w:rPr>
        <w:t xml:space="preserve">5.4 Onchain Contract Architecture</w:t>
      </w:r>
    </w:p>
    <w:p>
      <w:pPr>
        <w:pStyle w:val="Heading3"/>
        <w:spacing w:before="280" w:after="120"/>
      </w:pPr>
      <w:r>
        <w:rPr>
          <w:rFonts w:ascii="Arial" w:cs="Arial" w:eastAsia="Arial" w:hAnsi="Arial"/>
          <w:b/>
          <w:bCs/>
          <w:color w:val="4F46E5"/>
          <w:sz w:val="24"/>
          <w:szCs w:val="24"/>
        </w:rPr>
        <w:t xml:space="preserve">Contracts Deployed on AVAX C-Chain</w:t>
      </w:r>
    </w:p>
    <w:p>
      <w:pPr>
        <w:pStyle w:val="ListParagraph"/>
        <w:numPr>
          <w:ilvl w:val="0"/>
          <w:numId w:val="2"/>
        </w:numPr>
        <w:spacing w:before="0" w:after="100"/>
      </w:pPr>
      <w:r>
        <w:rPr>
          <w:rFonts w:ascii="Arial" w:cs="Arial" w:eastAsia="Arial" w:hAnsi="Arial"/>
          <w:b/>
          <w:bCs/>
          <w:color w:val="1A1A2E"/>
          <w:sz w:val="20"/>
          <w:szCs w:val="20"/>
        </w:rPr>
        <w:t xml:space="preserve">DataAttestation.sol</w:t>
      </w:r>
      <w:r>
        <w:rPr>
          <w:rFonts w:ascii="Arial" w:cs="Arial" w:eastAsia="Arial" w:hAnsi="Arial"/>
          <w:color w:val="1A1A2E"/>
          <w:sz w:val="20"/>
          <w:szCs w:val="20"/>
        </w:rPr>
        <w:t xml:space="preserve"> — receives daily merkle root writes. Stores: timestamp, root hash, snapshot ID. Read-only public verification function.</w:t>
      </w:r>
    </w:p>
    <w:p>
      <w:pPr>
        <w:pStyle w:val="ListParagraph"/>
        <w:numPr>
          <w:ilvl w:val="0"/>
          <w:numId w:val="2"/>
        </w:numPr>
        <w:spacing w:before="0" w:after="100"/>
      </w:pPr>
      <w:r>
        <w:rPr>
          <w:rFonts w:ascii="Arial" w:cs="Arial" w:eastAsia="Arial" w:hAnsi="Arial"/>
          <w:b/>
          <w:bCs/>
          <w:color w:val="1A1A2E"/>
          <w:sz w:val="20"/>
          <w:szCs w:val="20"/>
        </w:rPr>
        <w:t xml:space="preserve">RatesRegistry.sol</w:t>
      </w:r>
      <w:r>
        <w:rPr>
          <w:rFonts w:ascii="Arial" w:cs="Arial" w:eastAsia="Arial" w:hAnsi="Arial"/>
          <w:color w:val="1A1A2E"/>
          <w:sz w:val="20"/>
          <w:szCs w:val="20"/>
        </w:rPr>
        <w:t xml:space="preserve"> — stores per-stream rates fed by Chainlink. Quarterly updates. Used as authoritative rate source in oracle calculation.</w:t>
      </w:r>
    </w:p>
    <w:p>
      <w:pPr>
        <w:pStyle w:val="ListParagraph"/>
        <w:numPr>
          <w:ilvl w:val="0"/>
          <w:numId w:val="2"/>
        </w:numPr>
        <w:spacing w:before="0" w:after="100"/>
      </w:pPr>
      <w:r>
        <w:rPr>
          <w:rFonts w:ascii="Arial" w:cs="Arial" w:eastAsia="Arial" w:hAnsi="Arial"/>
          <w:b/>
          <w:bCs/>
          <w:color w:val="1A1A2E"/>
          <w:sz w:val="20"/>
          <w:szCs w:val="20"/>
        </w:rPr>
        <w:t xml:space="preserve">SplitFactory.sol</w:t>
      </w:r>
      <w:r>
        <w:rPr>
          <w:rFonts w:ascii="Arial" w:cs="Arial" w:eastAsia="Arial" w:hAnsi="Arial"/>
          <w:color w:val="1A1A2E"/>
          <w:sz w:val="20"/>
          <w:szCs w:val="20"/>
        </w:rPr>
        <w:t xml:space="preserve"> — deploys individual Split contracts. Maintains registry of all deployed agreements.</w:t>
      </w:r>
    </w:p>
    <w:p>
      <w:pPr>
        <w:pStyle w:val="ListParagraph"/>
        <w:numPr>
          <w:ilvl w:val="0"/>
          <w:numId w:val="2"/>
        </w:numPr>
        <w:spacing w:before="0" w:after="100"/>
      </w:pPr>
      <w:r>
        <w:rPr>
          <w:rFonts w:ascii="Arial" w:cs="Arial" w:eastAsia="Arial" w:hAnsi="Arial"/>
          <w:b/>
          <w:bCs/>
          <w:color w:val="1A1A2E"/>
          <w:sz w:val="20"/>
          <w:szCs w:val="20"/>
        </w:rPr>
        <w:t xml:space="preserve">Split.sol (per agreement)</w:t>
      </w:r>
      <w:r>
        <w:rPr>
          <w:rFonts w:ascii="Arial" w:cs="Arial" w:eastAsia="Arial" w:hAnsi="Arial"/>
          <w:color w:val="1A1A2E"/>
          <w:sz w:val="20"/>
          <w:szCs w:val="20"/>
        </w:rPr>
        <w:t xml:space="preserve"> — stores ISRC, contributor addresses, share BPS, status enum. Functions: sign(), amend(), void().</w:t>
      </w:r>
    </w:p>
    <w:p>
      <w:pPr>
        <w:spacing w:before="0" w:after="80"/>
      </w:pPr>
      <w:r>
        <w:t xml:space="preserve"/>
      </w:r>
    </w:p>
    <w:p>
      <w:pPr>
        <w:pStyle w:val="Heading3"/>
        <w:spacing w:before="280" w:after="120"/>
      </w:pPr>
      <w:r>
        <w:rPr>
          <w:rFonts w:ascii="Arial" w:cs="Arial" w:eastAsia="Arial" w:hAnsi="Arial"/>
          <w:b/>
          <w:bCs/>
          <w:color w:val="4F46E5"/>
          <w:sz w:val="24"/>
          <w:szCs w:val="24"/>
        </w:rPr>
        <w:t xml:space="preserve">Wallet &amp; Gas</w:t>
      </w:r>
    </w:p>
    <w:p>
      <w:pPr>
        <w:pStyle w:val="ListParagraph"/>
        <w:numPr>
          <w:ilvl w:val="0"/>
          <w:numId w:val="2"/>
        </w:numPr>
        <w:spacing w:before="0" w:after="100"/>
      </w:pPr>
      <w:r>
        <w:rPr>
          <w:rFonts w:ascii="Arial" w:cs="Arial" w:eastAsia="Arial" w:hAnsi="Arial"/>
          <w:color w:val="1A1A2E"/>
          <w:sz w:val="20"/>
          <w:szCs w:val="20"/>
        </w:rPr>
        <w:t xml:space="preserve">One AVAX C-Chain wallet per account, created silently at signup</w:t>
      </w:r>
    </w:p>
    <w:p>
      <w:pPr>
        <w:pStyle w:val="ListParagraph"/>
        <w:numPr>
          <w:ilvl w:val="0"/>
          <w:numId w:val="2"/>
        </w:numPr>
        <w:spacing w:before="0" w:after="100"/>
      </w:pPr>
      <w:r>
        <w:rPr>
          <w:rFonts w:ascii="Arial" w:cs="Arial" w:eastAsia="Arial" w:hAnsi="Arial"/>
          <w:color w:val="1A1A2E"/>
          <w:sz w:val="20"/>
          <w:szCs w:val="20"/>
        </w:rPr>
        <w:t xml:space="preserve">WavCash signs all onchain actions on behalf of users — no user-initiated transactions</w:t>
      </w:r>
    </w:p>
    <w:p>
      <w:pPr>
        <w:pStyle w:val="ListParagraph"/>
        <w:numPr>
          <w:ilvl w:val="0"/>
          <w:numId w:val="2"/>
        </w:numPr>
        <w:spacing w:before="0" w:after="100"/>
      </w:pPr>
      <w:r>
        <w:rPr>
          <w:rFonts w:ascii="Arial" w:cs="Arial" w:eastAsia="Arial" w:hAnsi="Arial"/>
          <w:color w:val="1A1A2E"/>
          <w:sz w:val="20"/>
          <w:szCs w:val="20"/>
        </w:rPr>
        <w:t xml:space="preserve">Gas fees covered by WavCash as operating cost. AVAX C-Chain fees are minimal.</w:t>
      </w:r>
    </w:p>
    <w:p>
      <w:pPr>
        <w:pStyle w:val="ListParagraph"/>
        <w:numPr>
          <w:ilvl w:val="0"/>
          <w:numId w:val="2"/>
        </w:numPr>
        <w:spacing w:before="0" w:after="100"/>
      </w:pPr>
      <w:r>
        <w:rPr>
          <w:rFonts w:ascii="Arial" w:cs="Arial" w:eastAsia="Arial" w:hAnsi="Arial"/>
          <w:color w:val="1A1A2E"/>
          <w:sz w:val="20"/>
          <w:szCs w:val="20"/>
        </w:rPr>
        <w:t xml:space="preserve">Self-custody export available in Settings (advanced, not surfaced by default)</w:t>
      </w:r>
    </w:p>
    <w:p>
      <w:r>
        <w:br w:type="page"/>
      </w:r>
    </w:p>
    <w:p>
      <w:pPr>
        <w:pStyle w:val="Heading1"/>
        <w:pBdr>
          <w:bottom w:val="single" w:color="4F46E5" w:sz="4" w:space="6"/>
        </w:pBdr>
        <w:spacing w:before="480" w:after="200"/>
      </w:pPr>
      <w:r>
        <w:rPr>
          <w:rFonts w:ascii="Arial" w:cs="Arial" w:eastAsia="Arial" w:hAnsi="Arial"/>
          <w:b/>
          <w:bCs/>
          <w:color w:val="1A1A2E"/>
          <w:sz w:val="36"/>
          <w:szCs w:val="36"/>
        </w:rPr>
        <w:t xml:space="preserve">6.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F2FF" w:val="clear"/>
            <w:tcMar>
              <w:top w:type="dxa" w:w="120"/>
              <w:left w:type="dxa" w:w="120"/>
              <w:bottom w:type="dxa" w:w="120"/>
              <w:right w:type="dxa" w:w="80"/>
            </w:tcMar>
          </w:tcPr>
          <w:p>
            <w:pPr>
              <w:jc w:val="center"/>
            </w:pPr>
            <w:r>
              <w:rPr>
                <w:rFonts w:ascii="Arial" w:cs="Arial" w:eastAsia="Arial" w:hAnsi="Arial"/>
                <w:b/>
                <w:bCs/>
                <w:color w:val="4F46E5"/>
                <w:sz w:val="18"/>
                <w:szCs w:val="18"/>
              </w:rPr>
              <w:t xml:space="preserve">📋</w:t>
            </w:r>
          </w:p>
        </w:tc>
        <w:tc>
          <w:tcPr>
            <w:tcW w:type="dxa" w:w="9160"/>
            <w:tcBorders>
              <w:top w:val="none" w:color="FFFFFF" w:sz="0"/>
              <w:left w:val="none" w:color="FFFFFF" w:sz="0"/>
              <w:bottom w:val="none" w:color="FFFFFF" w:sz="0"/>
              <w:right w:val="none" w:color="FFFFFF" w:sz="0"/>
            </w:tcBorders>
            <w:shd w:fill="EEF2FF" w:val="clear"/>
            <w:tcMar>
              <w:top w:type="dxa" w:w="120"/>
              <w:left w:type="dxa" w:w="120"/>
              <w:bottom w:type="dxa" w:w="120"/>
              <w:right w:type="dxa" w:w="120"/>
            </w:tcMar>
          </w:tcPr>
          <w:p>
            <w:pPr>
              <w:spacing w:after="0"/>
            </w:pPr>
            <w:r>
              <w:rPr>
                <w:rFonts w:ascii="Arial" w:cs="Arial" w:eastAsia="Arial" w:hAnsi="Arial"/>
                <w:color w:val="1A1A2E"/>
                <w:sz w:val="20"/>
                <w:szCs w:val="20"/>
              </w:rPr>
              <w:t xml:space="preserve">Phases below are planned and inform the MVP architecture. They do not ship at launch. The MVP is designed so that none of these phases require foundational rewrites — they extend what is already built.</w:t>
            </w:r>
          </w:p>
        </w:tc>
      </w:tr>
    </w:tbl>
    <w:p>
      <w:pPr>
        <w:spacing w:before="0" w:after="160"/>
      </w:pPr>
      <w:r>
        <w:t xml:space="preserve"/>
      </w:r>
    </w:p>
    <w:p>
      <w:pPr>
        <w:pStyle w:val="Heading2"/>
        <w:spacing w:before="360" w:after="160"/>
      </w:pPr>
      <w:r>
        <w:rPr>
          <w:rFonts w:ascii="Arial" w:cs="Arial" w:eastAsia="Arial" w:hAnsi="Arial"/>
          <w:b/>
          <w:bCs/>
          <w:color w:val="1A1A2E"/>
          <w:sz w:val="28"/>
          <w:szCs w:val="28"/>
        </w:rPr>
        <w:t xml:space="preserve">Phase 2 — Payments Infrastructure + Enterprise Tools</w:t>
      </w:r>
    </w:p>
    <w:p>
      <w:pPr>
        <w:spacing w:before="0" w:after="140"/>
      </w:pPr>
      <w:r>
        <w:rPr>
          <w:rFonts w:ascii="Arial" w:cs="Arial" w:eastAsia="Arial" w:hAnsi="Arial"/>
          <w:color w:val="1A1A2E"/>
          <w:sz w:val="20"/>
          <w:szCs w:val="20"/>
        </w:rPr>
        <w:t xml:space="preserve">Goal: Activate transaction revenue and capture the high-value Enterprise segment at the moment the payment rails go live. Labels and managers who arrive in Phase 2 bring their entire roster into the payout infrastructure from day one.</w:t>
      </w:r>
    </w:p>
    <w:p>
      <w:pPr>
        <w:spacing w:before="0" w:after="80"/>
      </w:pPr>
      <w:r>
        <w:t xml:space="preserve"/>
      </w:r>
    </w:p>
    <w:p>
      <w:pPr>
        <w:pStyle w:val="Heading3"/>
        <w:spacing w:before="280" w:after="120"/>
      </w:pPr>
      <w:r>
        <w:rPr>
          <w:rFonts w:ascii="Arial" w:cs="Arial" w:eastAsia="Arial" w:hAnsi="Arial"/>
          <w:b/>
          <w:bCs/>
          <w:color w:val="4F46E5"/>
          <w:sz w:val="24"/>
          <w:szCs w:val="24"/>
        </w:rPr>
        <w:t xml:space="preserve">Virtual Account Infrastructure</w:t>
      </w:r>
    </w:p>
    <w:p>
      <w:pPr>
        <w:pStyle w:val="ListParagraph"/>
        <w:numPr>
          <w:ilvl w:val="0"/>
          <w:numId w:val="2"/>
        </w:numPr>
        <w:spacing w:before="0" w:after="100"/>
      </w:pPr>
      <w:r>
        <w:rPr>
          <w:rFonts w:ascii="Arial" w:cs="Arial" w:eastAsia="Arial" w:hAnsi="Arial"/>
          <w:b/>
          <w:bCs/>
          <w:color w:val="1A1A2E"/>
          <w:sz w:val="20"/>
          <w:szCs w:val="20"/>
        </w:rPr>
        <w:t xml:space="preserve">Provider by market: </w:t>
      </w:r>
      <w:r>
        <w:rPr>
          <w:rFonts w:ascii="Arial" w:cs="Arial" w:eastAsia="Arial" w:hAnsi="Arial"/>
          <w:color w:val="1A1A2E"/>
          <w:sz w:val="20"/>
          <w:szCs w:val="20"/>
        </w:rPr>
        <w:t xml:space="preserve">Fincra/Paystack DVA (Nigeria — named NUBAN), Dock + PIX + CPF key (Brazil), Conekta/Dock CLABE (Mexico), Ukheshe/FinSwitch (South Africa — pending validation)</w:t>
      </w:r>
    </w:p>
    <w:p>
      <w:pPr>
        <w:pStyle w:val="ListParagraph"/>
        <w:numPr>
          <w:ilvl w:val="0"/>
          <w:numId w:val="2"/>
        </w:numPr>
        <w:spacing w:before="0" w:after="100"/>
      </w:pPr>
      <w:r>
        <w:rPr>
          <w:rFonts w:ascii="Arial" w:cs="Arial" w:eastAsia="Arial" w:hAnsi="Arial"/>
          <w:color w:val="1A1A2E"/>
          <w:sz w:val="20"/>
          <w:szCs w:val="20"/>
        </w:rPr>
        <w:t xml:space="preserve">Each WavCash account receives a dedicated virtual account in the rights holder's name using their KYC details</w:t>
      </w:r>
    </w:p>
    <w:p>
      <w:pPr>
        <w:pStyle w:val="ListParagraph"/>
        <w:numPr>
          <w:ilvl w:val="0"/>
          <w:numId w:val="2"/>
        </w:numPr>
        <w:spacing w:before="0" w:after="100"/>
      </w:pPr>
      <w:r>
        <w:rPr>
          <w:rFonts w:ascii="Arial" w:cs="Arial" w:eastAsia="Arial" w:hAnsi="Arial"/>
          <w:color w:val="1A1A2E"/>
          <w:sz w:val="20"/>
          <w:szCs w:val="20"/>
        </w:rPr>
        <w:t xml:space="preserve">Account details never surfaced in UI — the account simply "receives royalties"</w:t>
      </w:r>
    </w:p>
    <w:p>
      <w:pPr>
        <w:spacing w:before="0" w:after="80"/>
      </w:pPr>
      <w:r>
        <w:t xml:space="preserve"/>
      </w:r>
    </w:p>
    <w:p>
      <w:pPr>
        <w:pStyle w:val="Heading3"/>
        <w:spacing w:before="280" w:after="120"/>
      </w:pPr>
      <w:r>
        <w:rPr>
          <w:rFonts w:ascii="Arial" w:cs="Arial" w:eastAsia="Arial" w:hAnsi="Arial"/>
          <w:b/>
          <w:bCs/>
          <w:color w:val="4F46E5"/>
          <w:sz w:val="24"/>
          <w:szCs w:val="24"/>
        </w:rPr>
        <w:t xml:space="preserve">Distributor Payout Rail</w:t>
      </w:r>
    </w:p>
    <w:p>
      <w:pPr>
        <w:pStyle w:val="ListParagraph"/>
        <w:numPr>
          <w:ilvl w:val="0"/>
          <w:numId w:val="2"/>
        </w:numPr>
        <w:spacing w:before="0" w:after="100"/>
      </w:pPr>
      <w:r>
        <w:rPr>
          <w:rFonts w:ascii="Arial" w:cs="Arial" w:eastAsia="Arial" w:hAnsi="Arial"/>
          <w:color w:val="1A1A2E"/>
          <w:sz w:val="20"/>
          <w:szCs w:val="20"/>
        </w:rPr>
        <w:t xml:space="preserve">Rights holder points their distributor payout to their WavCash virtual account (guided setup per distributor, including deep-link to their distributor's payout settings page)</w:t>
      </w:r>
    </w:p>
    <w:p>
      <w:pPr>
        <w:pStyle w:val="ListParagraph"/>
        <w:numPr>
          <w:ilvl w:val="0"/>
          <w:numId w:val="2"/>
        </w:numPr>
        <w:spacing w:before="0" w:after="100"/>
      </w:pPr>
      <w:r>
        <w:rPr>
          <w:rFonts w:ascii="Arial" w:cs="Arial" w:eastAsia="Arial" w:hAnsi="Arial"/>
          <w:color w:val="1A1A2E"/>
          <w:sz w:val="20"/>
          <w:szCs w:val="20"/>
        </w:rPr>
        <w:t xml:space="preserve">WavCash receives full ISRC royalty amount, checks for active splits, redistributes to contributors per agreement</w:t>
      </w:r>
    </w:p>
    <w:p>
      <w:pPr>
        <w:pStyle w:val="ListParagraph"/>
        <w:numPr>
          <w:ilvl w:val="0"/>
          <w:numId w:val="2"/>
        </w:numPr>
        <w:spacing w:before="0" w:after="100"/>
      </w:pPr>
      <w:r>
        <w:rPr>
          <w:rFonts w:ascii="Arial" w:cs="Arial" w:eastAsia="Arial" w:hAnsi="Arial"/>
          <w:color w:val="1A1A2E"/>
          <w:sz w:val="20"/>
          <w:szCs w:val="20"/>
        </w:rPr>
        <w:t xml:space="preserve">Settlement options: local currency via M-Pesa / PIX / Paystack / bank transfer, or USDC.e on AVAX C-Chain</w:t>
      </w:r>
    </w:p>
    <w:p>
      <w:pPr>
        <w:pStyle w:val="ListParagraph"/>
        <w:numPr>
          <w:ilvl w:val="0"/>
          <w:numId w:val="2"/>
        </w:numPr>
        <w:spacing w:before="0" w:after="100"/>
      </w:pPr>
      <w:r>
        <w:rPr>
          <w:rFonts w:ascii="Arial" w:cs="Arial" w:eastAsia="Arial" w:hAnsi="Arial"/>
          <w:b/>
          <w:bCs/>
          <w:color w:val="1A1A2E"/>
          <w:sz w:val="20"/>
          <w:szCs w:val="20"/>
        </w:rPr>
        <w:t xml:space="preserve">Fee: </w:t>
      </w:r>
      <w:r>
        <w:rPr>
          <w:rFonts w:ascii="Arial" w:cs="Arial" w:eastAsia="Arial" w:hAnsi="Arial"/>
          <w:color w:val="1A1A2E"/>
          <w:sz w:val="20"/>
          <w:szCs w:val="20"/>
        </w:rPr>
        <w:t xml:space="preserve">0.5% transaction fee + 2% FX spread on local currency. 0.5% only on USDC.e.</w:t>
      </w:r>
    </w:p>
    <w:p>
      <w:pPr>
        <w:spacing w:before="0" w:after="80"/>
      </w:pPr>
      <w:r>
        <w:t xml:space="preserve"/>
      </w:r>
    </w:p>
    <w:p>
      <w:pPr>
        <w:pStyle w:val="Heading3"/>
        <w:spacing w:before="280" w:after="120"/>
      </w:pPr>
      <w:r>
        <w:rPr>
          <w:rFonts w:ascii="Arial" w:cs="Arial" w:eastAsia="Arial" w:hAnsi="Arial"/>
          <w:b/>
          <w:bCs/>
          <w:color w:val="4F46E5"/>
          <w:sz w:val="24"/>
          <w:szCs w:val="24"/>
        </w:rPr>
        <w:t xml:space="preserve">CMO Payout Rail</w:t>
      </w:r>
    </w:p>
    <w:p>
      <w:pPr>
        <w:pStyle w:val="ListParagraph"/>
        <w:numPr>
          <w:ilvl w:val="0"/>
          <w:numId w:val="2"/>
        </w:numPr>
        <w:spacing w:before="0" w:after="100"/>
      </w:pPr>
      <w:r>
        <w:rPr>
          <w:rFonts w:ascii="Arial" w:cs="Arial" w:eastAsia="Arial" w:hAnsi="Arial"/>
          <w:color w:val="1A1A2E"/>
          <w:sz w:val="20"/>
          <w:szCs w:val="20"/>
        </w:rPr>
        <w:t xml:space="preserve">Rights holder's named virtual account registered as CMO payout destination</w:t>
      </w:r>
    </w:p>
    <w:p>
      <w:pPr>
        <w:pStyle w:val="ListParagraph"/>
        <w:numPr>
          <w:ilvl w:val="0"/>
          <w:numId w:val="2"/>
        </w:numPr>
        <w:spacing w:before="0" w:after="100"/>
      </w:pPr>
      <w:r>
        <w:rPr>
          <w:rFonts w:ascii="Arial" w:cs="Arial" w:eastAsia="Arial" w:hAnsi="Arial"/>
          <w:color w:val="1A1A2E"/>
          <w:sz w:val="20"/>
          <w:szCs w:val="20"/>
        </w:rPr>
        <w:t xml:space="preserve">WavCash receives CMO royalties, deducts commission, settles remainder to rights holder</w:t>
      </w:r>
    </w:p>
    <w:p>
      <w:pPr>
        <w:pStyle w:val="ListParagraph"/>
        <w:numPr>
          <w:ilvl w:val="0"/>
          <w:numId w:val="2"/>
        </w:numPr>
        <w:spacing w:before="0" w:after="100"/>
      </w:pPr>
      <w:r>
        <w:rPr>
          <w:rFonts w:ascii="Arial" w:cs="Arial" w:eastAsia="Arial" w:hAnsi="Arial"/>
          <w:b/>
          <w:bCs/>
          <w:color w:val="1A1A2E"/>
          <w:sz w:val="20"/>
          <w:szCs w:val="20"/>
        </w:rPr>
        <w:t xml:space="preserve">Fee: </w:t>
      </w:r>
      <w:r>
        <w:rPr>
          <w:rFonts w:ascii="Arial" w:cs="Arial" w:eastAsia="Arial" w:hAnsi="Arial"/>
          <w:color w:val="1A1A2E"/>
          <w:sz w:val="20"/>
          <w:szCs w:val="20"/>
        </w:rPr>
        <w:t xml:space="preserve">9.5% commission + 0.5% processing fee on CMO royalties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2808"/>
        <w:gridCol w:w="2340"/>
      </w:tblGrid>
      <w:tr>
        <w:tc>
          <w:tcPr>
            <w:tcW w:type="dxa" w:w="23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Market</w:t>
            </w:r>
          </w:p>
        </w:tc>
        <w:tc>
          <w:tcPr>
            <w:tcW w:type="dxa" w:w="1872"/>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CMO</w:t>
            </w:r>
          </w:p>
        </w:tc>
        <w:tc>
          <w:tcPr>
            <w:tcW w:type="dxa" w:w="2808"/>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BaaS Provider</w:t>
            </w:r>
          </w:p>
        </w:tc>
        <w:tc>
          <w:tcPr>
            <w:tcW w:type="dxa" w:w="23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Status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Nigeria</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UBC</w:t>
            </w:r>
          </w:p>
        </w:tc>
        <w:tc>
          <w:tcPr>
            <w:tcW w:type="dxa" w:w="28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Fincra / Paystack DVA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Phase 2</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Brazil</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ECAD</w:t>
            </w:r>
          </w:p>
        </w:tc>
        <w:tc>
          <w:tcPr>
            <w:tcW w:type="dxa" w:w="28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Dock + PIX (CPF key)</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Phase 2</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Mexico</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SACM</w:t>
            </w:r>
          </w:p>
        </w:tc>
        <w:tc>
          <w:tcPr>
            <w:tcW w:type="dxa" w:w="28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Conekta / Dock CLABE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Phase 2</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South Africa</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SAMRO/CAPASSO</w:t>
            </w:r>
          </w:p>
        </w:tc>
        <w:tc>
          <w:tcPr>
            <w:tcW w:type="dxa" w:w="28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Ukheshe/FinSwitch (validate first)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Phase 2 conditional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Kenya</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MCSK</w:t>
            </w:r>
          </w:p>
        </w:tc>
        <w:tc>
          <w:tcPr>
            <w:tcW w:type="dxa" w:w="28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No viable path identified yet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19"/>
                <w:szCs w:val="19"/>
              </w:rPr>
              <w:t xml:space="preserve">Phase 3</w:t>
            </w:r>
          </w:p>
        </w:tc>
      </w:tr>
    </w:tbl>
    <w:p>
      <w:pPr>
        <w:spacing w:before="0" w:after="160"/>
      </w:pPr>
      <w:r>
        <w:t xml:space="preserve"/>
      </w:r>
    </w:p>
    <w:p>
      <w:pPr>
        <w:pStyle w:val="Heading3"/>
        <w:spacing w:before="280" w:after="120"/>
      </w:pPr>
      <w:r>
        <w:rPr>
          <w:rFonts w:ascii="Arial" w:cs="Arial" w:eastAsia="Arial" w:hAnsi="Arial"/>
          <w:b/>
          <w:bCs/>
          <w:color w:val="4F46E5"/>
          <w:sz w:val="24"/>
          <w:szCs w:val="24"/>
        </w:rPr>
        <w:t xml:space="preserve">Enterprise Tools — Full Suite</w:t>
      </w:r>
    </w:p>
    <w:p>
      <w:pPr>
        <w:pStyle w:val="ListParagraph"/>
        <w:numPr>
          <w:ilvl w:val="0"/>
          <w:numId w:val="2"/>
        </w:numPr>
        <w:spacing w:before="0" w:after="100"/>
      </w:pPr>
      <w:r>
        <w:rPr>
          <w:rFonts w:ascii="Arial" w:cs="Arial" w:eastAsia="Arial" w:hAnsi="Arial"/>
          <w:b/>
          <w:bCs/>
          <w:color w:val="1A1A2E"/>
          <w:sz w:val="20"/>
          <w:szCs w:val="20"/>
        </w:rPr>
        <w:t xml:space="preserve">Full roster onboarding on behalf of artists</w:t>
      </w:r>
      <w:r>
        <w:rPr>
          <w:rFonts w:ascii="Arial" w:cs="Arial" w:eastAsia="Arial" w:hAnsi="Arial"/>
          <w:color w:val="1A1A2E"/>
          <w:sz w:val="20"/>
          <w:szCs w:val="20"/>
        </w:rPr>
        <w:t xml:space="preserve"> — managers/labels create and manage artist profiles for entire roster</w:t>
      </w:r>
    </w:p>
    <w:p>
      <w:pPr>
        <w:pStyle w:val="ListParagraph"/>
        <w:numPr>
          <w:ilvl w:val="0"/>
          <w:numId w:val="2"/>
        </w:numPr>
        <w:spacing w:before="0" w:after="100"/>
      </w:pPr>
      <w:r>
        <w:rPr>
          <w:rFonts w:ascii="Arial" w:cs="Arial" w:eastAsia="Arial" w:hAnsi="Arial"/>
          <w:b/>
          <w:bCs/>
          <w:color w:val="1A1A2E"/>
          <w:sz w:val="20"/>
          <w:szCs w:val="20"/>
        </w:rPr>
        <w:t xml:space="preserve">Bulk payout management</w:t>
      </w:r>
      <w:r>
        <w:rPr>
          <w:rFonts w:ascii="Arial" w:cs="Arial" w:eastAsia="Arial" w:hAnsi="Arial"/>
          <w:color w:val="1A1A2E"/>
          <w:sz w:val="20"/>
          <w:szCs w:val="20"/>
        </w:rPr>
        <w:t xml:space="preserve"> — pay entire roster in one action with per-artist breakdown</w:t>
      </w:r>
    </w:p>
    <w:p>
      <w:pPr>
        <w:pStyle w:val="ListParagraph"/>
        <w:numPr>
          <w:ilvl w:val="0"/>
          <w:numId w:val="2"/>
        </w:numPr>
        <w:spacing w:before="0" w:after="100"/>
      </w:pPr>
      <w:r>
        <w:rPr>
          <w:rFonts w:ascii="Arial" w:cs="Arial" w:eastAsia="Arial" w:hAnsi="Arial"/>
          <w:b/>
          <w:bCs/>
          <w:color w:val="1A1A2E"/>
          <w:sz w:val="20"/>
          <w:szCs w:val="20"/>
        </w:rPr>
        <w:t xml:space="preserve">White-label royalty statements</w:t>
      </w:r>
      <w:r>
        <w:rPr>
          <w:rFonts w:ascii="Arial" w:cs="Arial" w:eastAsia="Arial" w:hAnsi="Arial"/>
          <w:color w:val="1A1A2E"/>
          <w:sz w:val="20"/>
          <w:szCs w:val="20"/>
        </w:rPr>
        <w:t xml:space="preserve"> — Enterprise accounts generate branded royalty statements for their artists</w:t>
      </w:r>
    </w:p>
    <w:p>
      <w:pPr>
        <w:pStyle w:val="ListParagraph"/>
        <w:numPr>
          <w:ilvl w:val="0"/>
          <w:numId w:val="2"/>
        </w:numPr>
        <w:spacing w:before="0" w:after="100"/>
      </w:pPr>
      <w:r>
        <w:rPr>
          <w:rFonts w:ascii="Arial" w:cs="Arial" w:eastAsia="Arial" w:hAnsi="Arial"/>
          <w:b/>
          <w:bCs/>
          <w:color w:val="1A1A2E"/>
          <w:sz w:val="20"/>
          <w:szCs w:val="20"/>
        </w:rPr>
        <w:t xml:space="preserve">Label-level splits management</w:t>
      </w:r>
      <w:r>
        <w:rPr>
          <w:rFonts w:ascii="Arial" w:cs="Arial" w:eastAsia="Arial" w:hAnsi="Arial"/>
          <w:color w:val="1A1A2E"/>
          <w:sz w:val="20"/>
          <w:szCs w:val="20"/>
        </w:rPr>
        <w:t xml:space="preserve"> — view and manage all active split agreements across entire roster</w:t>
      </w:r>
    </w:p>
    <w:p>
      <w:pPr>
        <w:pStyle w:val="ListParagraph"/>
        <w:numPr>
          <w:ilvl w:val="0"/>
          <w:numId w:val="2"/>
        </w:numPr>
        <w:spacing w:before="0" w:after="100"/>
      </w:pPr>
      <w:r>
        <w:rPr>
          <w:rFonts w:ascii="Arial" w:cs="Arial" w:eastAsia="Arial" w:hAnsi="Arial"/>
          <w:b/>
          <w:bCs/>
          <w:color w:val="1A1A2E"/>
          <w:sz w:val="20"/>
          <w:szCs w:val="20"/>
        </w:rPr>
        <w:t xml:space="preserve">Automatic split redistribution</w:t>
      </w:r>
      <w:r>
        <w:rPr>
          <w:rFonts w:ascii="Arial" w:cs="Arial" w:eastAsia="Arial" w:hAnsi="Arial"/>
          <w:color w:val="1A1A2E"/>
          <w:sz w:val="20"/>
          <w:szCs w:val="20"/>
        </w:rPr>
        <w:t xml:space="preserve"> — when royalties arrive, splits activate and distribute to all contributors automatically</w:t>
      </w:r>
    </w:p>
    <w:p>
      <w:pPr>
        <w:spacing w:before="0" w:after="160"/>
      </w:pPr>
      <w:r>
        <w:t xml:space="preserve"/>
      </w:r>
    </w:p>
    <w:p>
      <w:pPr>
        <w:pStyle w:val="Heading2"/>
        <w:spacing w:before="360" w:after="160"/>
      </w:pPr>
      <w:r>
        <w:rPr>
          <w:rFonts w:ascii="Arial" w:cs="Arial" w:eastAsia="Arial" w:hAnsi="Arial"/>
          <w:b/>
          <w:bCs/>
          <w:color w:val="1A1A2E"/>
          <w:sz w:val="28"/>
          <w:szCs w:val="28"/>
        </w:rPr>
        <w:t xml:space="preserve">Phase 3 — Distribution Intelligence</w:t>
      </w:r>
    </w:p>
    <w:p>
      <w:pPr>
        <w:spacing w:before="0" w:after="140"/>
      </w:pPr>
      <w:r>
        <w:rPr>
          <w:rFonts w:ascii="Arial" w:cs="Arial" w:eastAsia="Arial" w:hAnsi="Arial"/>
          <w:color w:val="1A1A2E"/>
          <w:sz w:val="20"/>
          <w:szCs w:val="20"/>
        </w:rPr>
        <w:t xml:space="preserve">Goal: Eliminate manual steps, deepen data advantage, expand territory.</w:t>
      </w:r>
    </w:p>
    <w:p>
      <w:pPr>
        <w:spacing w:before="0" w:after="80"/>
      </w:pPr>
      <w:r>
        <w:t xml:space="preserve"/>
      </w:r>
    </w:p>
    <w:p>
      <w:pPr>
        <w:pStyle w:val="ListParagraph"/>
        <w:numPr>
          <w:ilvl w:val="0"/>
          <w:numId w:val="2"/>
        </w:numPr>
        <w:spacing w:before="0" w:after="100"/>
      </w:pPr>
      <w:r>
        <w:rPr>
          <w:rFonts w:ascii="Arial" w:cs="Arial" w:eastAsia="Arial" w:hAnsi="Arial"/>
          <w:b/>
          <w:bCs/>
          <w:color w:val="1A1A2E"/>
          <w:sz w:val="20"/>
          <w:szCs w:val="20"/>
        </w:rPr>
        <w:t xml:space="preserve">Distributor OAuth</w:t>
      </w:r>
      <w:r>
        <w:rPr>
          <w:rFonts w:ascii="Arial" w:cs="Arial" w:eastAsia="Arial" w:hAnsi="Arial"/>
          <w:color w:val="1A1A2E"/>
          <w:sz w:val="20"/>
          <w:szCs w:val="20"/>
        </w:rPr>
        <w:t xml:space="preserve"> — DistroKid first, then TuneCore and Amuse. Replaces CSV upload with automatic statement sync.</w:t>
      </w:r>
    </w:p>
    <w:p>
      <w:pPr>
        <w:pStyle w:val="ListParagraph"/>
        <w:numPr>
          <w:ilvl w:val="0"/>
          <w:numId w:val="2"/>
        </w:numPr>
        <w:spacing w:before="0" w:after="100"/>
      </w:pPr>
      <w:r>
        <w:rPr>
          <w:rFonts w:ascii="Arial" w:cs="Arial" w:eastAsia="Arial" w:hAnsi="Arial"/>
          <w:b/>
          <w:bCs/>
          <w:color w:val="1A1A2E"/>
          <w:sz w:val="20"/>
          <w:szCs w:val="20"/>
        </w:rPr>
        <w:t xml:space="preserve">Kenya CMO collection</w:t>
      </w:r>
      <w:r>
        <w:rPr>
          <w:rFonts w:ascii="Arial" w:cs="Arial" w:eastAsia="Arial" w:hAnsi="Arial"/>
          <w:color w:val="1A1A2E"/>
          <w:sz w:val="20"/>
          <w:szCs w:val="20"/>
        </w:rPr>
        <w:t xml:space="preserve"> — MCSK payout rail once local banking partner identified.</w:t>
      </w:r>
    </w:p>
    <w:p>
      <w:pPr>
        <w:pStyle w:val="ListParagraph"/>
        <w:numPr>
          <w:ilvl w:val="0"/>
          <w:numId w:val="2"/>
        </w:numPr>
        <w:spacing w:before="0" w:after="100"/>
      </w:pPr>
      <w:r>
        <w:rPr>
          <w:rFonts w:ascii="Arial" w:cs="Arial" w:eastAsia="Arial" w:hAnsi="Arial"/>
          <w:b/>
          <w:bCs/>
          <w:color w:val="1A1A2E"/>
          <w:sz w:val="20"/>
          <w:szCs w:val="20"/>
        </w:rPr>
        <w:t xml:space="preserve">Ghana activation</w:t>
      </w:r>
      <w:r>
        <w:rPr>
          <w:rFonts w:ascii="Arial" w:cs="Arial" w:eastAsia="Arial" w:hAnsi="Arial"/>
          <w:color w:val="1A1A2E"/>
          <w:sz w:val="20"/>
          <w:szCs w:val="20"/>
        </w:rPr>
        <w:t xml:space="preserve"> — GHAMRO CMO registration, Paystack Ghana payment rail.</w:t>
      </w:r>
    </w:p>
    <w:p>
      <w:pPr>
        <w:pStyle w:val="ListParagraph"/>
        <w:numPr>
          <w:ilvl w:val="0"/>
          <w:numId w:val="2"/>
        </w:numPr>
        <w:spacing w:before="0" w:after="100"/>
      </w:pPr>
      <w:r>
        <w:rPr>
          <w:rFonts w:ascii="Arial" w:cs="Arial" w:eastAsia="Arial" w:hAnsi="Arial"/>
          <w:b/>
          <w:bCs/>
          <w:color w:val="1A1A2E"/>
          <w:sz w:val="20"/>
          <w:szCs w:val="20"/>
        </w:rPr>
        <w:t xml:space="preserve">Earnings trajectory forecasting</w:t>
      </w:r>
      <w:r>
        <w:rPr>
          <w:rFonts w:ascii="Arial" w:cs="Arial" w:eastAsia="Arial" w:hAnsi="Arial"/>
          <w:color w:val="1A1A2E"/>
          <w:sz w:val="20"/>
          <w:szCs w:val="20"/>
        </w:rPr>
        <w:t xml:space="preserve"> — "At current streaming rate, estimated earnings this month: $X."</w:t>
      </w:r>
    </w:p>
    <w:p>
      <w:pPr>
        <w:pStyle w:val="ListParagraph"/>
        <w:numPr>
          <w:ilvl w:val="0"/>
          <w:numId w:val="2"/>
        </w:numPr>
        <w:spacing w:before="0" w:after="100"/>
      </w:pPr>
      <w:r>
        <w:rPr>
          <w:rFonts w:ascii="Arial" w:cs="Arial" w:eastAsia="Arial" w:hAnsi="Arial"/>
          <w:b/>
          <w:bCs/>
          <w:color w:val="1A1A2E"/>
          <w:sz w:val="20"/>
          <w:szCs w:val="20"/>
        </w:rPr>
        <w:t xml:space="preserve">Catalog health score</w:t>
      </w:r>
      <w:r>
        <w:rPr>
          <w:rFonts w:ascii="Arial" w:cs="Arial" w:eastAsia="Arial" w:hAnsi="Arial"/>
          <w:color w:val="1A1A2E"/>
          <w:sz w:val="20"/>
          <w:szCs w:val="20"/>
        </w:rPr>
        <w:t xml:space="preserve"> — automated scan: unregistered tracks, missing ISRCs, tracks earning but not registered with any CMO.</w:t>
      </w:r>
    </w:p>
    <w:p>
      <w:pPr>
        <w:pStyle w:val="ListParagraph"/>
        <w:numPr>
          <w:ilvl w:val="0"/>
          <w:numId w:val="2"/>
        </w:numPr>
        <w:spacing w:before="0" w:after="100"/>
      </w:pPr>
      <w:r>
        <w:rPr>
          <w:rFonts w:ascii="Arial" w:cs="Arial" w:eastAsia="Arial" w:hAnsi="Arial"/>
          <w:b/>
          <w:bCs/>
          <w:color w:val="1A1A2E"/>
          <w:sz w:val="20"/>
          <w:szCs w:val="20"/>
        </w:rPr>
        <w:t xml:space="preserve">Earnings alerts</w:t>
      </w:r>
      <w:r>
        <w:rPr>
          <w:rFonts w:ascii="Arial" w:cs="Arial" w:eastAsia="Arial" w:hAnsi="Arial"/>
          <w:color w:val="1A1A2E"/>
          <w:sz w:val="20"/>
          <w:szCs w:val="20"/>
        </w:rPr>
        <w:t xml:space="preserve"> — push/email when royalties arrive, anomalies detected, CMO status changes.</w:t>
      </w:r>
    </w:p>
    <w:p>
      <w:pPr>
        <w:spacing w:before="0" w:after="160"/>
      </w:pPr>
      <w:r>
        <w:t xml:space="preserve"/>
      </w:r>
    </w:p>
    <w:p>
      <w:pPr>
        <w:pStyle w:val="Heading2"/>
        <w:spacing w:before="360" w:after="160"/>
      </w:pPr>
      <w:r>
        <w:rPr>
          <w:rFonts w:ascii="Arial" w:cs="Arial" w:eastAsia="Arial" w:hAnsi="Arial"/>
          <w:b/>
          <w:bCs/>
          <w:color w:val="1A1A2E"/>
          <w:sz w:val="28"/>
          <w:szCs w:val="28"/>
        </w:rPr>
        <w:t xml:space="preserve">Phase 4 — Territory Expansion</w:t>
      </w:r>
    </w:p>
    <w:p>
      <w:pPr>
        <w:spacing w:before="0" w:after="140"/>
      </w:pPr>
      <w:r>
        <w:rPr>
          <w:rFonts w:ascii="Arial" w:cs="Arial" w:eastAsia="Arial" w:hAnsi="Arial"/>
          <w:color w:val="1A1A2E"/>
          <w:sz w:val="20"/>
          <w:szCs w:val="20"/>
        </w:rPr>
        <w:t xml:space="preserve">Goal: Scale into secondary markets with proven infrastructure.</w:t>
      </w:r>
    </w:p>
    <w:p>
      <w:pPr>
        <w:spacing w:before="0" w:after="80"/>
      </w:pPr>
      <w:r>
        <w:t xml:space="preserve"/>
      </w:r>
    </w:p>
    <w:p>
      <w:pPr>
        <w:pStyle w:val="ListParagraph"/>
        <w:numPr>
          <w:ilvl w:val="0"/>
          <w:numId w:val="2"/>
        </w:numPr>
        <w:spacing w:before="0" w:after="100"/>
      </w:pPr>
      <w:r>
        <w:rPr>
          <w:rFonts w:ascii="Arial" w:cs="Arial" w:eastAsia="Arial" w:hAnsi="Arial"/>
          <w:b/>
          <w:bCs/>
          <w:color w:val="1A1A2E"/>
          <w:sz w:val="20"/>
          <w:szCs w:val="20"/>
        </w:rPr>
        <w:t xml:space="preserve">Colombia</w:t>
      </w:r>
      <w:r>
        <w:rPr>
          <w:rFonts w:ascii="Arial" w:cs="Arial" w:eastAsia="Arial" w:hAnsi="Arial"/>
          <w:color w:val="1A1A2E"/>
          <w:sz w:val="20"/>
          <w:szCs w:val="20"/>
        </w:rPr>
        <w:t xml:space="preserve"> — SAYCO CMO, local payment rails</w:t>
      </w:r>
    </w:p>
    <w:p>
      <w:pPr>
        <w:pStyle w:val="ListParagraph"/>
        <w:numPr>
          <w:ilvl w:val="0"/>
          <w:numId w:val="2"/>
        </w:numPr>
        <w:spacing w:before="0" w:after="100"/>
      </w:pPr>
      <w:r>
        <w:rPr>
          <w:rFonts w:ascii="Arial" w:cs="Arial" w:eastAsia="Arial" w:hAnsi="Arial"/>
          <w:b/>
          <w:bCs/>
          <w:color w:val="1A1A2E"/>
          <w:sz w:val="20"/>
          <w:szCs w:val="20"/>
        </w:rPr>
        <w:t xml:space="preserve">Argentina</w:t>
      </w:r>
      <w:r>
        <w:rPr>
          <w:rFonts w:ascii="Arial" w:cs="Arial" w:eastAsia="Arial" w:hAnsi="Arial"/>
          <w:color w:val="1A1A2E"/>
          <w:sz w:val="20"/>
          <w:szCs w:val="20"/>
        </w:rPr>
        <w:t xml:space="preserve"> — AADI/CAPIF CMO, local payment rails</w:t>
      </w:r>
    </w:p>
    <w:p>
      <w:pPr>
        <w:pStyle w:val="ListParagraph"/>
        <w:numPr>
          <w:ilvl w:val="0"/>
          <w:numId w:val="2"/>
        </w:numPr>
        <w:spacing w:before="0" w:after="100"/>
      </w:pPr>
      <w:r>
        <w:rPr>
          <w:rFonts w:ascii="Arial" w:cs="Arial" w:eastAsia="Arial" w:hAnsi="Arial"/>
          <w:b/>
          <w:bCs/>
          <w:color w:val="1A1A2E"/>
          <w:sz w:val="20"/>
          <w:szCs w:val="20"/>
        </w:rPr>
        <w:t xml:space="preserve">Tanzania</w:t>
      </w:r>
      <w:r>
        <w:rPr>
          <w:rFonts w:ascii="Arial" w:cs="Arial" w:eastAsia="Arial" w:hAnsi="Arial"/>
          <w:color w:val="1A1A2E"/>
          <w:sz w:val="20"/>
          <w:szCs w:val="20"/>
        </w:rPr>
        <w:t xml:space="preserve"> — COSOTA CMO</w:t>
      </w:r>
    </w:p>
    <w:p>
      <w:pPr>
        <w:pStyle w:val="ListParagraph"/>
        <w:numPr>
          <w:ilvl w:val="0"/>
          <w:numId w:val="2"/>
        </w:numPr>
        <w:spacing w:before="0" w:after="100"/>
      </w:pPr>
      <w:r>
        <w:rPr>
          <w:rFonts w:ascii="Arial" w:cs="Arial" w:eastAsia="Arial" w:hAnsi="Arial"/>
          <w:b/>
          <w:bCs/>
          <w:color w:val="1A1A2E"/>
          <w:sz w:val="20"/>
          <w:szCs w:val="20"/>
        </w:rPr>
        <w:t xml:space="preserve">Ghana CMO</w:t>
      </w:r>
      <w:r>
        <w:rPr>
          <w:rFonts w:ascii="Arial" w:cs="Arial" w:eastAsia="Arial" w:hAnsi="Arial"/>
          <w:color w:val="1A1A2E"/>
          <w:sz w:val="20"/>
          <w:szCs w:val="20"/>
        </w:rPr>
        <w:t xml:space="preserve"> — full integration post Phase 3 activation</w:t>
      </w:r>
    </w:p>
    <w:p>
      <w:pPr>
        <w:spacing w:before="0" w:after="160"/>
      </w:pPr>
      <w:r>
        <w:t xml:space="preserve"/>
      </w:r>
    </w:p>
    <w:p>
      <w:pPr>
        <w:pStyle w:val="Heading2"/>
        <w:spacing w:before="360" w:after="160"/>
      </w:pPr>
      <w:r>
        <w:rPr>
          <w:rFonts w:ascii="Arial" w:cs="Arial" w:eastAsia="Arial" w:hAnsi="Arial"/>
          <w:b/>
          <w:bCs/>
          <w:color w:val="1A1A2E"/>
          <w:sz w:val="28"/>
          <w:szCs w:val="28"/>
        </w:rPr>
        <w:t xml:space="preserve">Phase 5 — Financial Products</w:t>
      </w:r>
    </w:p>
    <w:p>
      <w:pPr>
        <w:spacing w:before="0" w:after="140"/>
      </w:pPr>
      <w:r>
        <w:rPr>
          <w:rFonts w:ascii="Arial" w:cs="Arial" w:eastAsia="Arial" w:hAnsi="Arial"/>
          <w:color w:val="1A1A2E"/>
          <w:sz w:val="20"/>
          <w:szCs w:val="20"/>
        </w:rPr>
        <w:t xml:space="preserve">Goal: Expand revenue beyond fees. Become the primary financial relationship.</w:t>
      </w:r>
    </w:p>
    <w:p>
      <w:pPr>
        <w:spacing w:before="0" w:after="80"/>
      </w:pPr>
      <w:r>
        <w:t xml:space="preserve"/>
      </w:r>
    </w:p>
    <w:p>
      <w:pPr>
        <w:pStyle w:val="ListParagraph"/>
        <w:numPr>
          <w:ilvl w:val="0"/>
          <w:numId w:val="2"/>
        </w:numPr>
        <w:spacing w:before="0" w:after="100"/>
      </w:pPr>
      <w:r>
        <w:rPr>
          <w:rFonts w:ascii="Arial" w:cs="Arial" w:eastAsia="Arial" w:hAnsi="Arial"/>
          <w:b/>
          <w:bCs/>
          <w:color w:val="1A1A2E"/>
          <w:sz w:val="20"/>
          <w:szCs w:val="20"/>
        </w:rPr>
        <w:t xml:space="preserve">Royalty advances</w:t>
      </w:r>
      <w:r>
        <w:rPr>
          <w:rFonts w:ascii="Arial" w:cs="Arial" w:eastAsia="Arial" w:hAnsi="Arial"/>
          <w:color w:val="1A1A2E"/>
          <w:sz w:val="20"/>
          <w:szCs w:val="20"/>
        </w:rPr>
        <w:t xml:space="preserve"> — advance against projected 90-day earnings, underwritten by oracle trajectory data and earnings history</w:t>
      </w:r>
    </w:p>
    <w:p>
      <w:pPr>
        <w:pStyle w:val="ListParagraph"/>
        <w:numPr>
          <w:ilvl w:val="0"/>
          <w:numId w:val="2"/>
        </w:numPr>
        <w:spacing w:before="0" w:after="100"/>
      </w:pPr>
      <w:r>
        <w:rPr>
          <w:rFonts w:ascii="Arial" w:cs="Arial" w:eastAsia="Arial" w:hAnsi="Arial"/>
          <w:b/>
          <w:bCs/>
          <w:color w:val="1A1A2E"/>
          <w:sz w:val="20"/>
          <w:szCs w:val="20"/>
        </w:rPr>
        <w:t xml:space="preserve">Earnings-linked savings</w:t>
      </w:r>
      <w:r>
        <w:rPr>
          <w:rFonts w:ascii="Arial" w:cs="Arial" w:eastAsia="Arial" w:hAnsi="Arial"/>
          <w:color w:val="1A1A2E"/>
          <w:sz w:val="20"/>
          <w:szCs w:val="20"/>
        </w:rPr>
        <w:t xml:space="preserve"> — auto-save a percentage of every royalty deposit</w:t>
      </w:r>
    </w:p>
    <w:p>
      <w:pPr>
        <w:pStyle w:val="ListParagraph"/>
        <w:numPr>
          <w:ilvl w:val="0"/>
          <w:numId w:val="2"/>
        </w:numPr>
        <w:spacing w:before="0" w:after="100"/>
      </w:pPr>
      <w:r>
        <w:rPr>
          <w:rFonts w:ascii="Arial" w:cs="Arial" w:eastAsia="Arial" w:hAnsi="Arial"/>
          <w:b/>
          <w:bCs/>
          <w:color w:val="1A1A2E"/>
          <w:sz w:val="20"/>
          <w:szCs w:val="20"/>
        </w:rPr>
        <w:t xml:space="preserve">WavCash card</w:t>
      </w:r>
      <w:r>
        <w:rPr>
          <w:rFonts w:ascii="Arial" w:cs="Arial" w:eastAsia="Arial" w:hAnsi="Arial"/>
          <w:color w:val="1A1A2E"/>
          <w:sz w:val="20"/>
          <w:szCs w:val="20"/>
        </w:rPr>
        <w:t xml:space="preserve"> — physical/virtual debit card funded by royalty balance, issued via BaaS card issuance partner</w:t>
      </w:r>
    </w:p>
    <w:p>
      <w:pPr>
        <w:pStyle w:val="ListParagraph"/>
        <w:numPr>
          <w:ilvl w:val="0"/>
          <w:numId w:val="2"/>
        </w:numPr>
        <w:spacing w:before="0" w:after="100"/>
      </w:pPr>
      <w:r>
        <w:rPr>
          <w:rFonts w:ascii="Arial" w:cs="Arial" w:eastAsia="Arial" w:hAnsi="Arial"/>
          <w:b/>
          <w:bCs/>
          <w:color w:val="1A1A2E"/>
          <w:sz w:val="20"/>
          <w:szCs w:val="20"/>
        </w:rPr>
        <w:t xml:space="preserve">Float/treasury yield</w:t>
      </w:r>
      <w:r>
        <w:rPr>
          <w:rFonts w:ascii="Arial" w:cs="Arial" w:eastAsia="Arial" w:hAnsi="Arial"/>
          <w:color w:val="1A1A2E"/>
          <w:sz w:val="20"/>
          <w:szCs w:val="20"/>
        </w:rPr>
        <w:t xml:space="preserve"> — idle balances earn yield, portion passed to rights holders as incentive</w:t>
      </w:r>
    </w:p>
    <w:p>
      <w:pPr>
        <w:spacing w:before="0" w:after="160"/>
      </w:pPr>
      <w:r>
        <w:t xml:space="preserve"/>
      </w:r>
    </w:p>
    <w:p>
      <w:pPr>
        <w:pStyle w:val="Heading2"/>
        <w:spacing w:before="360" w:after="160"/>
      </w:pPr>
      <w:r>
        <w:rPr>
          <w:rFonts w:ascii="Arial" w:cs="Arial" w:eastAsia="Arial" w:hAnsi="Arial"/>
          <w:b/>
          <w:bCs/>
          <w:color w:val="1A1A2E"/>
          <w:sz w:val="28"/>
          <w:szCs w:val="28"/>
        </w:rPr>
        <w:t xml:space="preserve">Phase 6 — Data &amp; Ecosystem</w:t>
      </w:r>
    </w:p>
    <w:p>
      <w:pPr>
        <w:spacing w:before="0" w:after="140"/>
      </w:pPr>
      <w:r>
        <w:rPr>
          <w:rFonts w:ascii="Arial" w:cs="Arial" w:eastAsia="Arial" w:hAnsi="Arial"/>
          <w:color w:val="1A1A2E"/>
          <w:sz w:val="20"/>
          <w:szCs w:val="20"/>
        </w:rPr>
        <w:t xml:space="preserve">Goal: Monetize data. Open the platform to third parties.</w:t>
      </w:r>
    </w:p>
    <w:p>
      <w:pPr>
        <w:spacing w:before="0" w:after="80"/>
      </w:pPr>
      <w:r>
        <w:t xml:space="preserve"/>
      </w:r>
    </w:p>
    <w:p>
      <w:pPr>
        <w:pStyle w:val="ListParagraph"/>
        <w:numPr>
          <w:ilvl w:val="0"/>
          <w:numId w:val="2"/>
        </w:numPr>
        <w:spacing w:before="0" w:after="100"/>
      </w:pPr>
      <w:r>
        <w:rPr>
          <w:rFonts w:ascii="Arial" w:cs="Arial" w:eastAsia="Arial" w:hAnsi="Arial"/>
          <w:b/>
          <w:bCs/>
          <w:color w:val="1A1A2E"/>
          <w:sz w:val="20"/>
          <w:szCs w:val="20"/>
        </w:rPr>
        <w:t xml:space="preserve">Anonymized market intelligence</w:t>
      </w:r>
      <w:r>
        <w:rPr>
          <w:rFonts w:ascii="Arial" w:cs="Arial" w:eastAsia="Arial" w:hAnsi="Arial"/>
          <w:color w:val="1A1A2E"/>
          <w:sz w:val="20"/>
          <w:szCs w:val="20"/>
        </w:rPr>
        <w:t xml:space="preserve"> — streaming trends by genre, territory, DSP — sold to labels, investors, DSPs</w:t>
      </w:r>
    </w:p>
    <w:p>
      <w:pPr>
        <w:pStyle w:val="ListParagraph"/>
        <w:numPr>
          <w:ilvl w:val="0"/>
          <w:numId w:val="2"/>
        </w:numPr>
        <w:spacing w:before="0" w:after="100"/>
      </w:pPr>
      <w:r>
        <w:rPr>
          <w:rFonts w:ascii="Arial" w:cs="Arial" w:eastAsia="Arial" w:hAnsi="Arial"/>
          <w:b/>
          <w:bCs/>
          <w:color w:val="1A1A2E"/>
          <w:sz w:val="20"/>
          <w:szCs w:val="20"/>
        </w:rPr>
        <w:t xml:space="preserve">WavCash API</w:t>
      </w:r>
      <w:r>
        <w:rPr>
          <w:rFonts w:ascii="Arial" w:cs="Arial" w:eastAsia="Arial" w:hAnsi="Arial"/>
          <w:color w:val="1A1A2E"/>
          <w:sz w:val="20"/>
          <w:szCs w:val="20"/>
        </w:rPr>
        <w:t xml:space="preserve"> — white-label payout and royalty aggregation infrastructure for distributors and third-party apps</w:t>
      </w:r>
    </w:p>
    <w:p>
      <w:pPr>
        <w:pStyle w:val="ListParagraph"/>
        <w:numPr>
          <w:ilvl w:val="0"/>
          <w:numId w:val="2"/>
        </w:numPr>
        <w:spacing w:before="0" w:after="100"/>
      </w:pPr>
      <w:r>
        <w:rPr>
          <w:rFonts w:ascii="Arial" w:cs="Arial" w:eastAsia="Arial" w:hAnsi="Arial"/>
          <w:b/>
          <w:bCs/>
          <w:color w:val="1A1A2E"/>
          <w:sz w:val="20"/>
          <w:szCs w:val="20"/>
        </w:rPr>
        <w:t xml:space="preserve">Secondary splits marketplace</w:t>
      </w:r>
      <w:r>
        <w:rPr>
          <w:rFonts w:ascii="Arial" w:cs="Arial" w:eastAsia="Arial" w:hAnsi="Arial"/>
          <w:color w:val="1A1A2E"/>
          <w:sz w:val="20"/>
          <w:szCs w:val="20"/>
        </w:rPr>
        <w:t xml:space="preserve"> — rights holders sell a percentage of future royalties onchain to fans or investors</w:t>
      </w:r>
    </w:p>
    <w:p>
      <w:pPr>
        <w:pStyle w:val="ListParagraph"/>
        <w:numPr>
          <w:ilvl w:val="0"/>
          <w:numId w:val="2"/>
        </w:numPr>
        <w:spacing w:before="0" w:after="100"/>
      </w:pPr>
      <w:r>
        <w:rPr>
          <w:rFonts w:ascii="Arial" w:cs="Arial" w:eastAsia="Arial" w:hAnsi="Arial"/>
          <w:b/>
          <w:bCs/>
          <w:color w:val="1A1A2E"/>
          <w:sz w:val="20"/>
          <w:szCs w:val="20"/>
        </w:rPr>
        <w:t xml:space="preserve">Open data layer</w:t>
      </w:r>
      <w:r>
        <w:rPr>
          <w:rFonts w:ascii="Arial" w:cs="Arial" w:eastAsia="Arial" w:hAnsi="Arial"/>
          <w:color w:val="1A1A2E"/>
          <w:sz w:val="20"/>
          <w:szCs w:val="20"/>
        </w:rPr>
        <w:t xml:space="preserve"> — anonymized streaming economics published as public good via foundation structure</w:t>
      </w:r>
    </w:p>
    <w:p>
      <w:pPr>
        <w:spacing w:before="0" w:after="480"/>
      </w:pPr>
      <w:r>
        <w:t xml:space="preserve"/>
      </w:r>
    </w:p>
    <w:p>
      <w:pPr>
        <w:spacing w:before="480" w:after="0"/>
        <w:jc w:val="center"/>
      </w:pPr>
      <w:r>
        <w:rPr>
          <w:rFonts w:ascii="Arial" w:cs="Arial" w:eastAsia="Arial" w:hAnsi="Arial"/>
          <w:i/>
          <w:iCs/>
          <w:color w:val="6B7280"/>
          <w:sz w:val="18"/>
          <w:szCs w:val="18"/>
        </w:rPr>
        <w:t xml:space="preserve">— End of WavCash Product Specification v2.0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2026-02-24T02:42:35.944Z</dcterms:created>
  <dcterms:modified xsi:type="dcterms:W3CDTF">2026-02-24T02:42:35.945Z</dcterms:modified>
</cp:coreProperties>
</file>

<file path=docProps/custom.xml><?xml version="1.0" encoding="utf-8"?>
<Properties xmlns="http://schemas.openxmlformats.org/officeDocument/2006/custom-properties" xmlns:vt="http://schemas.openxmlformats.org/officeDocument/2006/docPropsVTypes"/>
</file>