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210" w14:textId="0B048012" w:rsidR="00C43E84" w:rsidRPr="00EE3AB9" w:rsidRDefault="00EE3AB9" w:rsidP="00EE3AB9">
      <w:pPr>
        <w:rPr>
          <w:b/>
          <w:bCs/>
        </w:rPr>
      </w:pPr>
      <w:proofErr w:type="spellStart"/>
      <w:r w:rsidRPr="00EE3AB9">
        <w:rPr>
          <w:b/>
          <w:bCs/>
        </w:rPr>
        <w:t>text_complexity</w:t>
      </w:r>
      <w:proofErr w:type="spellEnd"/>
      <w:r w:rsidRPr="00EE3AB9">
        <w:rPr>
          <w:b/>
          <w:bCs/>
        </w:rPr>
        <w:t xml:space="preserve">: Assessing the complexity of academic journal articles to demonstrate accessibility </w:t>
      </w:r>
    </w:p>
    <w:p w14:paraId="79DEB50C" w14:textId="192A416C" w:rsidR="00337667" w:rsidRDefault="00337667" w:rsidP="00641BA9">
      <w:pPr>
        <w:ind w:firstLine="720"/>
        <w:rPr>
          <w:rFonts w:ascii="Calibri" w:hAnsi="Calibri" w:cs="Calibri"/>
        </w:rPr>
      </w:pPr>
      <w:r>
        <w:t xml:space="preserve">The project will be based on the </w:t>
      </w:r>
      <w:r w:rsidR="002A161C">
        <w:t>reading complexity framework</w:t>
      </w:r>
      <w:r w:rsidR="00803A24">
        <w:t xml:space="preserve"> </w:t>
      </w:r>
      <w:r w:rsidR="00803A24">
        <w:rPr>
          <w:rFonts w:ascii="Calibri" w:hAnsi="Calibri" w:cs="Calibri"/>
        </w:rPr>
        <w:t>Flesch</w:t>
      </w:r>
      <w:r w:rsidR="00D21985">
        <w:rPr>
          <w:rFonts w:ascii="Calibri" w:hAnsi="Calibri" w:cs="Calibri"/>
        </w:rPr>
        <w:t xml:space="preserve"> Reading Ease</w:t>
      </w:r>
      <w:r w:rsidR="00803A24">
        <w:rPr>
          <w:rFonts w:ascii="Calibri" w:hAnsi="Calibri" w:cs="Calibri"/>
        </w:rPr>
        <w:t xml:space="preserve"> readability</w:t>
      </w:r>
      <w:r w:rsidR="00A7179E">
        <w:rPr>
          <w:rFonts w:ascii="Calibri" w:hAnsi="Calibri" w:cs="Calibri"/>
        </w:rPr>
        <w:t xml:space="preserve"> scores</w:t>
      </w:r>
      <w:r w:rsidR="009E4084">
        <w:rPr>
          <w:rFonts w:ascii="Calibri" w:hAnsi="Calibri" w:cs="Calibri"/>
        </w:rPr>
        <w:t xml:space="preserve">; the higher the score, the </w:t>
      </w:r>
      <w:r w:rsidR="00742D84">
        <w:rPr>
          <w:rFonts w:ascii="Calibri" w:hAnsi="Calibri" w:cs="Calibri"/>
        </w:rPr>
        <w:t>easier</w:t>
      </w:r>
      <w:r w:rsidR="009E4084">
        <w:rPr>
          <w:rFonts w:ascii="Calibri" w:hAnsi="Calibri" w:cs="Calibri"/>
        </w:rPr>
        <w:t xml:space="preserve"> the </w:t>
      </w:r>
      <w:r w:rsidR="00E102E2">
        <w:rPr>
          <w:rFonts w:ascii="Calibri" w:hAnsi="Calibri" w:cs="Calibri"/>
        </w:rPr>
        <w:t xml:space="preserve">text is to read and understand. </w:t>
      </w:r>
      <w:r w:rsidR="00AF58CE">
        <w:rPr>
          <w:rFonts w:ascii="Calibri" w:hAnsi="Calibri" w:cs="Calibri"/>
        </w:rPr>
        <w:t xml:space="preserve">There are also bands within the scores that correspond to US education levels, ranging from </w:t>
      </w:r>
      <w:r w:rsidR="00A514C4">
        <w:rPr>
          <w:rFonts w:ascii="Calibri" w:hAnsi="Calibri" w:cs="Calibri"/>
        </w:rPr>
        <w:t>5</w:t>
      </w:r>
      <w:r w:rsidR="00A514C4" w:rsidRPr="00A514C4">
        <w:rPr>
          <w:rFonts w:ascii="Calibri" w:hAnsi="Calibri" w:cs="Calibri"/>
          <w:vertAlign w:val="superscript"/>
        </w:rPr>
        <w:t>th</w:t>
      </w:r>
      <w:r w:rsidR="00A514C4">
        <w:rPr>
          <w:rFonts w:ascii="Calibri" w:hAnsi="Calibri" w:cs="Calibri"/>
        </w:rPr>
        <w:t xml:space="preserve"> grade (11 years old) to ‘Professional’</w:t>
      </w:r>
      <w:r w:rsidR="00367528">
        <w:rPr>
          <w:rFonts w:ascii="Calibri" w:hAnsi="Calibri" w:cs="Calibri"/>
        </w:rPr>
        <w:t xml:space="preserve"> (specialised and college graduates)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3E38" w14:paraId="0E91B5B0" w14:textId="77777777" w:rsidTr="001E3E38">
        <w:tc>
          <w:tcPr>
            <w:tcW w:w="3005" w:type="dxa"/>
          </w:tcPr>
          <w:p w14:paraId="31EB77D8" w14:textId="28F77B13" w:rsidR="001E3E38" w:rsidRPr="004C1B1A" w:rsidRDefault="001E3E38" w:rsidP="00EE3AB9">
            <w:pPr>
              <w:rPr>
                <w:b/>
                <w:bCs/>
              </w:rPr>
            </w:pPr>
            <w:r w:rsidRPr="004C1B1A">
              <w:rPr>
                <w:b/>
                <w:bCs/>
              </w:rPr>
              <w:t>Readability Score</w:t>
            </w:r>
          </w:p>
        </w:tc>
        <w:tc>
          <w:tcPr>
            <w:tcW w:w="3005" w:type="dxa"/>
          </w:tcPr>
          <w:p w14:paraId="31617841" w14:textId="1F188EAC" w:rsidR="001E3E38" w:rsidRPr="004C1B1A" w:rsidRDefault="001E3E38" w:rsidP="00EE3AB9">
            <w:pPr>
              <w:rPr>
                <w:b/>
                <w:bCs/>
              </w:rPr>
            </w:pPr>
            <w:r w:rsidRPr="004C1B1A">
              <w:rPr>
                <w:b/>
                <w:bCs/>
              </w:rPr>
              <w:t>US Educational Level</w:t>
            </w:r>
          </w:p>
        </w:tc>
        <w:tc>
          <w:tcPr>
            <w:tcW w:w="3006" w:type="dxa"/>
          </w:tcPr>
          <w:p w14:paraId="034F26D7" w14:textId="3412F0CC" w:rsidR="001E3E38" w:rsidRPr="004C1B1A" w:rsidRDefault="001E3E38" w:rsidP="00EE3AB9">
            <w:pPr>
              <w:rPr>
                <w:b/>
                <w:bCs/>
              </w:rPr>
            </w:pPr>
            <w:r w:rsidRPr="004C1B1A">
              <w:rPr>
                <w:b/>
                <w:bCs/>
              </w:rPr>
              <w:t>Notes</w:t>
            </w:r>
          </w:p>
        </w:tc>
      </w:tr>
      <w:tr w:rsidR="001E3E38" w14:paraId="01DD0198" w14:textId="77777777" w:rsidTr="001E3E38">
        <w:tc>
          <w:tcPr>
            <w:tcW w:w="3005" w:type="dxa"/>
          </w:tcPr>
          <w:p w14:paraId="06F3E188" w14:textId="24A1C417" w:rsidR="001E3E38" w:rsidRDefault="00D6180E" w:rsidP="00EE3AB9">
            <w:r>
              <w:t>90-100</w:t>
            </w:r>
          </w:p>
        </w:tc>
        <w:tc>
          <w:tcPr>
            <w:tcW w:w="3005" w:type="dxa"/>
          </w:tcPr>
          <w:p w14:paraId="551FD88D" w14:textId="4193608D" w:rsidR="001E3E38" w:rsidRDefault="001E3E38" w:rsidP="00EE3AB9">
            <w:r>
              <w:t>5</w:t>
            </w:r>
            <w:r w:rsidRPr="001E3E38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006" w:type="dxa"/>
          </w:tcPr>
          <w:p w14:paraId="41C37143" w14:textId="14DBD5C8" w:rsidR="001E3E38" w:rsidRDefault="001E3E38" w:rsidP="00EE3AB9">
            <w:r>
              <w:t>Very easy to read. Easily understood by an average 11-year</w:t>
            </w:r>
            <w:r w:rsidR="00007F71">
              <w:t>-</w:t>
            </w:r>
            <w:r>
              <w:t>old</w:t>
            </w:r>
          </w:p>
        </w:tc>
      </w:tr>
      <w:tr w:rsidR="001E3E38" w14:paraId="46896D5C" w14:textId="77777777" w:rsidTr="001E3E38">
        <w:tc>
          <w:tcPr>
            <w:tcW w:w="3005" w:type="dxa"/>
          </w:tcPr>
          <w:p w14:paraId="1692C710" w14:textId="71376CC4" w:rsidR="001E3E38" w:rsidRDefault="00D6180E" w:rsidP="00EE3AB9">
            <w:r>
              <w:t>80-&lt;90</w:t>
            </w:r>
          </w:p>
        </w:tc>
        <w:tc>
          <w:tcPr>
            <w:tcW w:w="3005" w:type="dxa"/>
          </w:tcPr>
          <w:p w14:paraId="17EB760D" w14:textId="58A59C2B" w:rsidR="001E3E38" w:rsidRDefault="006F198D" w:rsidP="00EE3AB9">
            <w:r>
              <w:t>6</w:t>
            </w:r>
            <w:r w:rsidRPr="006F198D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006" w:type="dxa"/>
          </w:tcPr>
          <w:p w14:paraId="3F1C94E8" w14:textId="1ABCCB42" w:rsidR="001E3E38" w:rsidRDefault="006F198D" w:rsidP="00EE3AB9">
            <w:r>
              <w:t>Easy to read. Conversational English for consumers</w:t>
            </w:r>
          </w:p>
        </w:tc>
      </w:tr>
      <w:tr w:rsidR="001E3E38" w14:paraId="1A96145C" w14:textId="77777777" w:rsidTr="001E3E38">
        <w:tc>
          <w:tcPr>
            <w:tcW w:w="3005" w:type="dxa"/>
          </w:tcPr>
          <w:p w14:paraId="21353D89" w14:textId="0233AC83" w:rsidR="001E3E38" w:rsidRDefault="00D6180E" w:rsidP="00EE3AB9">
            <w:r>
              <w:t>70-&lt;80</w:t>
            </w:r>
          </w:p>
        </w:tc>
        <w:tc>
          <w:tcPr>
            <w:tcW w:w="3005" w:type="dxa"/>
          </w:tcPr>
          <w:p w14:paraId="128685D1" w14:textId="761A46FD" w:rsidR="001E3E38" w:rsidRDefault="00CD27E7" w:rsidP="00EE3AB9">
            <w:r>
              <w:t>7</w:t>
            </w:r>
            <w:r w:rsidRPr="00CD27E7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006" w:type="dxa"/>
          </w:tcPr>
          <w:p w14:paraId="4DC85C9F" w14:textId="743232F0" w:rsidR="001E3E38" w:rsidRDefault="00CD27E7" w:rsidP="00EE3AB9">
            <w:r>
              <w:t>Fairly easy to read</w:t>
            </w:r>
          </w:p>
        </w:tc>
      </w:tr>
      <w:tr w:rsidR="001E3E38" w14:paraId="597147BE" w14:textId="77777777" w:rsidTr="001E3E38">
        <w:tc>
          <w:tcPr>
            <w:tcW w:w="3005" w:type="dxa"/>
          </w:tcPr>
          <w:p w14:paraId="0A97C3AC" w14:textId="617E7722" w:rsidR="001E3E38" w:rsidRDefault="00D6180E" w:rsidP="00EE3AB9">
            <w:r>
              <w:t>60&lt;70</w:t>
            </w:r>
          </w:p>
        </w:tc>
        <w:tc>
          <w:tcPr>
            <w:tcW w:w="3005" w:type="dxa"/>
          </w:tcPr>
          <w:p w14:paraId="7B3A6470" w14:textId="54C8979F" w:rsidR="001E3E38" w:rsidRDefault="00CD27E7" w:rsidP="00EE3AB9">
            <w:r>
              <w:t>8</w:t>
            </w:r>
            <w:r w:rsidRPr="00CD27E7">
              <w:rPr>
                <w:vertAlign w:val="superscript"/>
              </w:rPr>
              <w:t>th</w:t>
            </w:r>
            <w:r>
              <w:t xml:space="preserve"> and 9</w:t>
            </w:r>
            <w:r w:rsidRPr="00CD27E7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006" w:type="dxa"/>
          </w:tcPr>
          <w:p w14:paraId="0A2C1D6B" w14:textId="37ACE772" w:rsidR="001E3E38" w:rsidRDefault="00CD27E7" w:rsidP="00EE3AB9">
            <w:r>
              <w:t>Plain English. Easily understood by 13- to 15-</w:t>
            </w:r>
            <w:r w:rsidR="008F2579">
              <w:t>year-old students</w:t>
            </w:r>
          </w:p>
        </w:tc>
      </w:tr>
      <w:tr w:rsidR="001E3E38" w14:paraId="3C6FA72B" w14:textId="77777777" w:rsidTr="001E3E38">
        <w:tc>
          <w:tcPr>
            <w:tcW w:w="3005" w:type="dxa"/>
          </w:tcPr>
          <w:p w14:paraId="69DA34DD" w14:textId="77CB424C" w:rsidR="001E3E38" w:rsidRDefault="00D6180E" w:rsidP="00EE3AB9">
            <w:r>
              <w:t>50&lt;60</w:t>
            </w:r>
          </w:p>
        </w:tc>
        <w:tc>
          <w:tcPr>
            <w:tcW w:w="3005" w:type="dxa"/>
          </w:tcPr>
          <w:p w14:paraId="732AF140" w14:textId="7BE380A0" w:rsidR="001E3E38" w:rsidRDefault="008F2579" w:rsidP="00EE3AB9">
            <w:r>
              <w:t>10</w:t>
            </w:r>
            <w:r w:rsidRPr="008F2579">
              <w:rPr>
                <w:vertAlign w:val="superscript"/>
              </w:rPr>
              <w:t>th</w:t>
            </w:r>
            <w:r>
              <w:t xml:space="preserve"> to 12</w:t>
            </w:r>
            <w:r w:rsidRPr="008F2579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3006" w:type="dxa"/>
          </w:tcPr>
          <w:p w14:paraId="517624D4" w14:textId="572F4890" w:rsidR="001E3E38" w:rsidRDefault="008F2579" w:rsidP="00EE3AB9">
            <w:r>
              <w:t>Fairly difficult to read</w:t>
            </w:r>
          </w:p>
        </w:tc>
      </w:tr>
      <w:tr w:rsidR="001E3E38" w14:paraId="2F5832EE" w14:textId="77777777" w:rsidTr="001E3E38">
        <w:tc>
          <w:tcPr>
            <w:tcW w:w="3005" w:type="dxa"/>
          </w:tcPr>
          <w:p w14:paraId="226CE168" w14:textId="5D4D6FAC" w:rsidR="001E3E38" w:rsidRDefault="00D6180E" w:rsidP="00EE3AB9">
            <w:r>
              <w:t>30-&lt;50</w:t>
            </w:r>
          </w:p>
        </w:tc>
        <w:tc>
          <w:tcPr>
            <w:tcW w:w="3005" w:type="dxa"/>
          </w:tcPr>
          <w:p w14:paraId="461022E1" w14:textId="227D8E03" w:rsidR="001E3E38" w:rsidRDefault="00B04B9A" w:rsidP="00EE3AB9">
            <w:r>
              <w:t xml:space="preserve">College </w:t>
            </w:r>
          </w:p>
        </w:tc>
        <w:tc>
          <w:tcPr>
            <w:tcW w:w="3006" w:type="dxa"/>
          </w:tcPr>
          <w:p w14:paraId="7416F23E" w14:textId="3B7631CB" w:rsidR="001E3E38" w:rsidRDefault="00B04B9A" w:rsidP="00EE3AB9">
            <w:r>
              <w:t>Difficult to read</w:t>
            </w:r>
          </w:p>
        </w:tc>
      </w:tr>
      <w:tr w:rsidR="001E3E38" w14:paraId="0D064FE6" w14:textId="77777777" w:rsidTr="001E3E38">
        <w:tc>
          <w:tcPr>
            <w:tcW w:w="3005" w:type="dxa"/>
          </w:tcPr>
          <w:p w14:paraId="65A6986B" w14:textId="2584D8D0" w:rsidR="001E3E38" w:rsidRDefault="00D6180E" w:rsidP="00EE3AB9">
            <w:r>
              <w:t>10-&lt;30</w:t>
            </w:r>
          </w:p>
        </w:tc>
        <w:tc>
          <w:tcPr>
            <w:tcW w:w="3005" w:type="dxa"/>
          </w:tcPr>
          <w:p w14:paraId="43323768" w14:textId="7C24543F" w:rsidR="001E3E38" w:rsidRDefault="00B04B9A" w:rsidP="00EE3AB9">
            <w:r>
              <w:t>College graduate</w:t>
            </w:r>
          </w:p>
        </w:tc>
        <w:tc>
          <w:tcPr>
            <w:tcW w:w="3006" w:type="dxa"/>
          </w:tcPr>
          <w:p w14:paraId="78847841" w14:textId="69778883" w:rsidR="001E3E38" w:rsidRDefault="00B04B9A" w:rsidP="00EE3AB9">
            <w:r>
              <w:t>Very difficult to read. Best understood by university graduates</w:t>
            </w:r>
          </w:p>
        </w:tc>
      </w:tr>
      <w:tr w:rsidR="00B04B9A" w14:paraId="491E801F" w14:textId="77777777" w:rsidTr="001E3E38">
        <w:tc>
          <w:tcPr>
            <w:tcW w:w="3005" w:type="dxa"/>
          </w:tcPr>
          <w:p w14:paraId="2D16D990" w14:textId="47066288" w:rsidR="00B04B9A" w:rsidRDefault="000000A7" w:rsidP="00EE3AB9">
            <w:r>
              <w:t>0-&lt;10</w:t>
            </w:r>
          </w:p>
        </w:tc>
        <w:tc>
          <w:tcPr>
            <w:tcW w:w="3005" w:type="dxa"/>
          </w:tcPr>
          <w:p w14:paraId="60A52A0D" w14:textId="1F513C59" w:rsidR="00B04B9A" w:rsidRDefault="000000A7" w:rsidP="00EE3AB9">
            <w:r>
              <w:t>Professional</w:t>
            </w:r>
          </w:p>
        </w:tc>
        <w:tc>
          <w:tcPr>
            <w:tcW w:w="3006" w:type="dxa"/>
          </w:tcPr>
          <w:p w14:paraId="3B4B0C2A" w14:textId="0EFB189E" w:rsidR="00B04B9A" w:rsidRDefault="000000A7" w:rsidP="00EE3AB9">
            <w:r>
              <w:t>Extremely difficult to read. Best understood by university graduates</w:t>
            </w:r>
          </w:p>
        </w:tc>
      </w:tr>
    </w:tbl>
    <w:p w14:paraId="5C1DCBD4" w14:textId="77777777" w:rsidR="002A4898" w:rsidRDefault="002A4898" w:rsidP="00EE3AB9"/>
    <w:p w14:paraId="0F699814" w14:textId="67633C88" w:rsidR="002D61C9" w:rsidRDefault="002D61C9" w:rsidP="00EE3AB9">
      <w:r>
        <w:t>Table adapted from</w:t>
      </w:r>
      <w:r w:rsidR="00C61F0B">
        <w:t xml:space="preserve"> </w:t>
      </w:r>
      <w:hyperlink r:id="rId6" w:history="1">
        <w:r w:rsidR="003312F8" w:rsidRPr="00E31769">
          <w:rPr>
            <w:rStyle w:val="Hyperlink"/>
          </w:rPr>
          <w:t>https://en.wikipedia.org/wiki/Flesch%E2%80%93Kincaid_readability_tests</w:t>
        </w:r>
      </w:hyperlink>
      <w:r>
        <w:t>.</w:t>
      </w:r>
      <w:r w:rsidR="003312F8">
        <w:t xml:space="preserve"> </w:t>
      </w:r>
    </w:p>
    <w:p w14:paraId="67736F8F" w14:textId="52CFF7FD" w:rsidR="00D50983" w:rsidRDefault="00831F67" w:rsidP="00EE3AB9">
      <w:r>
        <w:t>The scores are based on the formula</w:t>
      </w:r>
      <w:r w:rsidR="00D50983">
        <w:t>:</w:t>
      </w:r>
    </w:p>
    <w:p w14:paraId="22620E8E" w14:textId="528BA115" w:rsidR="00831F67" w:rsidRDefault="00831F67" w:rsidP="00EE3AB9">
      <m:oMathPara>
        <m:oMath>
          <m:r>
            <w:rPr>
              <w:rFonts w:ascii="Cambria Math" w:hAnsi="Cambria Math"/>
            </w:rPr>
            <m:t>206.835-1.015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 words</m:t>
                  </m:r>
                </m:num>
                <m:den>
                  <m:r>
                    <w:rPr>
                      <w:rFonts w:ascii="Cambria Math" w:hAnsi="Cambria Math"/>
                    </w:rPr>
                    <m:t>total sentences</m:t>
                  </m:r>
                </m:den>
              </m:f>
            </m:e>
          </m:d>
          <m:r>
            <w:rPr>
              <w:rFonts w:ascii="Cambria Math" w:hAnsi="Cambria Math"/>
            </w:rPr>
            <m:t>-84.6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total syllables</m:t>
                  </m:r>
                </m:num>
                <m:den>
                  <m:r>
                    <w:rPr>
                      <w:rFonts w:ascii="Cambria Math" w:hAnsi="Cambria Math"/>
                    </w:rPr>
                    <m:t>total words</m:t>
                  </m:r>
                </m:den>
              </m:f>
            </m:e>
          </m:d>
        </m:oMath>
      </m:oMathPara>
    </w:p>
    <w:p w14:paraId="3E4B75FB" w14:textId="11FAAE4A" w:rsidR="00206EF9" w:rsidRDefault="002D61C9" w:rsidP="00EE3AB9">
      <w:r>
        <w:t>Formula from</w:t>
      </w:r>
      <w:r w:rsidR="003312F8">
        <w:t xml:space="preserve"> </w:t>
      </w:r>
      <w:hyperlink r:id="rId7" w:history="1">
        <w:r w:rsidR="003312F8" w:rsidRPr="00E31769">
          <w:rPr>
            <w:rStyle w:val="Hyperlink"/>
          </w:rPr>
          <w:t>https://en.wikipedia.org/wiki/Flesch%E2%80%93Kincaid_readability_tests</w:t>
        </w:r>
      </w:hyperlink>
      <w:r w:rsidR="003312F8">
        <w:t xml:space="preserve">. </w:t>
      </w:r>
    </w:p>
    <w:p w14:paraId="20A8491D" w14:textId="435B63C9" w:rsidR="00A83F91" w:rsidRDefault="001630E6" w:rsidP="00641BA9">
      <w:pPr>
        <w:ind w:firstLine="720"/>
      </w:pPr>
      <w:r>
        <w:lastRenderedPageBreak/>
        <w:t xml:space="preserve">The aim of the project is to analyse academic articles to understand which level </w:t>
      </w:r>
      <w:r w:rsidR="00392898">
        <w:t xml:space="preserve">their readability actually corresponds </w:t>
      </w:r>
      <w:proofErr w:type="gramStart"/>
      <w:r w:rsidR="00392898">
        <w:t>to;</w:t>
      </w:r>
      <w:proofErr w:type="gramEnd"/>
      <w:r w:rsidR="00392898">
        <w:t xml:space="preserve"> whether that be </w:t>
      </w:r>
      <w:r w:rsidR="00A34E65">
        <w:t>in/near</w:t>
      </w:r>
      <w:r w:rsidR="00392898">
        <w:t xml:space="preserve"> </w:t>
      </w:r>
      <w:r w:rsidR="000D0534">
        <w:t xml:space="preserve">the </w:t>
      </w:r>
      <w:r w:rsidR="00392898">
        <w:t xml:space="preserve">expected band of College, or </w:t>
      </w:r>
      <w:r w:rsidR="00A34E65">
        <w:t xml:space="preserve">more divergent in either direction (more simple or more complicated). </w:t>
      </w:r>
      <w:r w:rsidR="00A83F91">
        <w:t xml:space="preserve">To do this, I shall use </w:t>
      </w:r>
      <w:r w:rsidR="00AB0C90">
        <w:t xml:space="preserve">articles from </w:t>
      </w:r>
      <w:r w:rsidR="007F69F3">
        <w:t>linguistics</w:t>
      </w:r>
      <w:r w:rsidR="00046405">
        <w:t xml:space="preserve"> as my data</w:t>
      </w:r>
      <w:r w:rsidR="00AB0C90">
        <w:t xml:space="preserve">. </w:t>
      </w:r>
      <w:r w:rsidR="00046405">
        <w:t>T</w:t>
      </w:r>
      <w:r w:rsidR="00AB0C90">
        <w:t>his</w:t>
      </w:r>
      <w:r w:rsidR="00046405">
        <w:t xml:space="preserve"> is</w:t>
      </w:r>
      <w:r w:rsidR="00AB0C90">
        <w:t xml:space="preserve"> because </w:t>
      </w:r>
      <w:r w:rsidR="00185A11">
        <w:t xml:space="preserve">all fields use specialist language, so that </w:t>
      </w:r>
      <w:r w:rsidR="0099285A">
        <w:t>shouldn’t be</w:t>
      </w:r>
      <w:r w:rsidR="00185A11">
        <w:t xml:space="preserve"> too significant</w:t>
      </w:r>
      <w:r w:rsidR="00FA3C75">
        <w:t>.</w:t>
      </w:r>
      <w:r w:rsidR="004008EF">
        <w:t xml:space="preserve"> Linguistics may be a problematic choice in terms of the articles co</w:t>
      </w:r>
      <w:r w:rsidR="00E06340">
        <w:t>ntain</w:t>
      </w:r>
      <w:r w:rsidR="004008EF">
        <w:t>ing</w:t>
      </w:r>
      <w:r w:rsidR="00E06340">
        <w:t xml:space="preserve"> words </w:t>
      </w:r>
      <w:r w:rsidR="004008EF">
        <w:t>used by participants</w:t>
      </w:r>
      <w:r w:rsidR="00943169">
        <w:t xml:space="preserve"> which </w:t>
      </w:r>
      <w:r w:rsidR="00E06340">
        <w:t xml:space="preserve">do not </w:t>
      </w:r>
      <w:r w:rsidR="00943169">
        <w:t>accurately reflect</w:t>
      </w:r>
      <w:r w:rsidR="00E06340">
        <w:t xml:space="preserve"> the </w:t>
      </w:r>
      <w:r w:rsidR="00943169">
        <w:t>academic’s writing</w:t>
      </w:r>
      <w:r w:rsidR="004008EF">
        <w:t xml:space="preserve">; however, I know I have access to </w:t>
      </w:r>
      <w:r w:rsidR="005C4797">
        <w:t>linguistics articles</w:t>
      </w:r>
      <w:r w:rsidR="00896007">
        <w:t xml:space="preserve"> from the Queen Mary </w:t>
      </w:r>
      <w:r w:rsidR="000D0534">
        <w:t>L</w:t>
      </w:r>
      <w:r w:rsidR="00896007">
        <w:t>ibrary and the Senate House library</w:t>
      </w:r>
      <w:r w:rsidR="00637F66">
        <w:t>. That being said, once</w:t>
      </w:r>
      <w:r w:rsidR="00C10530">
        <w:t xml:space="preserve"> the model is working, I can remove any participant quotes from the text, creating a new copy of the text which I can run through the function and compare with the original. </w:t>
      </w:r>
    </w:p>
    <w:p w14:paraId="76FEEF06" w14:textId="406F7A8D" w:rsidR="004843B2" w:rsidRDefault="00641BA9" w:rsidP="00EE3AB9">
      <w:r>
        <w:tab/>
        <w:t xml:space="preserve">In order to fulfil the formula, I will need to </w:t>
      </w:r>
      <w:r w:rsidR="00ED5FF2">
        <w:t xml:space="preserve">count the number of sentences, words, and syllables present in the text. Sentences can be calculated by </w:t>
      </w:r>
      <w:r w:rsidR="00B77AEB">
        <w:t xml:space="preserve">counting the occurrences of </w:t>
      </w:r>
      <w:r w:rsidR="0002016F">
        <w:t>certain</w:t>
      </w:r>
      <w:r w:rsidR="00B77AEB">
        <w:t xml:space="preserve"> punctuation (</w:t>
      </w:r>
      <w:proofErr w:type="gramStart"/>
      <w:r w:rsidR="00B77AEB">
        <w:t>e.g.</w:t>
      </w:r>
      <w:proofErr w:type="gramEnd"/>
      <w:r w:rsidR="00B77AEB">
        <w:t xml:space="preserve"> full-stop, question mark, exclamation mark) followed by a space or </w:t>
      </w:r>
      <w:r w:rsidR="00D53404">
        <w:t xml:space="preserve">a new line, remembering that the end of the article will not have a </w:t>
      </w:r>
      <w:r w:rsidR="0023396C">
        <w:t>white</w:t>
      </w:r>
      <w:r w:rsidR="00D53404">
        <w:t xml:space="preserve">space character. Words </w:t>
      </w:r>
      <w:r w:rsidR="007B1007">
        <w:t xml:space="preserve">will be challenging to define; however, once the text is all lowercase, with </w:t>
      </w:r>
      <w:r w:rsidR="000E78EE">
        <w:t xml:space="preserve">numbers and </w:t>
      </w:r>
      <w:r w:rsidR="0062619D">
        <w:t xml:space="preserve">punctuation removed (making an exception for hyphens </w:t>
      </w:r>
      <w:r w:rsidR="007E0AEA">
        <w:t>and full</w:t>
      </w:r>
      <w:r w:rsidR="00944A17">
        <w:t>-</w:t>
      </w:r>
      <w:r w:rsidR="007E0AEA">
        <w:t xml:space="preserve">stops </w:t>
      </w:r>
      <w:r w:rsidR="0062619D">
        <w:t xml:space="preserve">not surrounded by </w:t>
      </w:r>
      <w:r w:rsidR="0023396C">
        <w:t>white</w:t>
      </w:r>
      <w:r w:rsidR="0062619D">
        <w:t>space characters)</w:t>
      </w:r>
      <w:r w:rsidR="00496D70">
        <w:t xml:space="preserve">, and </w:t>
      </w:r>
      <w:r w:rsidR="001A17F4">
        <w:t xml:space="preserve">then using </w:t>
      </w:r>
      <w:r w:rsidR="0023396C">
        <w:t>white</w:t>
      </w:r>
      <w:r w:rsidR="006B6C15">
        <w:t xml:space="preserve">space characters </w:t>
      </w:r>
      <w:r w:rsidR="00BC605F">
        <w:t xml:space="preserve">to </w:t>
      </w:r>
      <w:r w:rsidR="00952C60">
        <w:t>split the string into a word list. Syllables</w:t>
      </w:r>
      <w:r w:rsidR="001A17F4">
        <w:t>,</w:t>
      </w:r>
      <w:r w:rsidR="00952C60">
        <w:t xml:space="preserve"> linguistically</w:t>
      </w:r>
      <w:r w:rsidR="001A17F4">
        <w:t>,</w:t>
      </w:r>
      <w:r w:rsidR="00952C60">
        <w:t xml:space="preserve"> contain a nucleus</w:t>
      </w:r>
      <w:r w:rsidR="00ED2B24">
        <w:t>,</w:t>
      </w:r>
      <w:r w:rsidR="00952C60">
        <w:t xml:space="preserve"> which in English is </w:t>
      </w:r>
      <w:r w:rsidR="00952B1A">
        <w:t>often a vowel sound</w:t>
      </w:r>
      <w:r w:rsidR="000922EA">
        <w:t xml:space="preserve">, </w:t>
      </w:r>
      <w:r w:rsidR="00952B1A">
        <w:t xml:space="preserve">with the exception of </w:t>
      </w:r>
      <w:r w:rsidR="000922EA">
        <w:t>noises such as ‘</w:t>
      </w:r>
      <w:proofErr w:type="spellStart"/>
      <w:r w:rsidR="000922EA">
        <w:t>shhh</w:t>
      </w:r>
      <w:proofErr w:type="spellEnd"/>
      <w:r w:rsidR="000922EA">
        <w:t>’.</w:t>
      </w:r>
      <w:r w:rsidR="0004592B">
        <w:t xml:space="preserve"> </w:t>
      </w:r>
      <w:r w:rsidR="00ED2B24">
        <w:t>For the sake of this project</w:t>
      </w:r>
      <w:r w:rsidR="00944A17">
        <w:t>,</w:t>
      </w:r>
      <w:r w:rsidR="00ED2B24">
        <w:t xml:space="preserve"> I will assume all syllables </w:t>
      </w:r>
      <w:r w:rsidR="00C421C2">
        <w:t>contain a</w:t>
      </w:r>
      <w:r w:rsidR="00ED2B24">
        <w:t xml:space="preserve"> vowel nucleus</w:t>
      </w:r>
      <w:r w:rsidR="00C421C2">
        <w:t>,</w:t>
      </w:r>
      <w:r w:rsidR="00ED2B24">
        <w:t xml:space="preserve"> so c</w:t>
      </w:r>
      <w:r w:rsidR="0004592B">
        <w:t>ounting syllables would then involve counting the number of vowels present; however</w:t>
      </w:r>
      <w:r w:rsidR="009025F4">
        <w:t>,</w:t>
      </w:r>
      <w:r w:rsidR="0004592B">
        <w:t xml:space="preserve"> this needs some modifications</w:t>
      </w:r>
      <w:r w:rsidR="004843B2">
        <w:t>:</w:t>
      </w:r>
    </w:p>
    <w:p w14:paraId="63B5C6D9" w14:textId="0AACF915" w:rsidR="00B53A58" w:rsidRDefault="00B53A58" w:rsidP="00B53A58">
      <w:pPr>
        <w:pStyle w:val="ListParagraph"/>
        <w:numPr>
          <w:ilvl w:val="0"/>
          <w:numId w:val="1"/>
        </w:numPr>
      </w:pPr>
      <w:r>
        <w:t xml:space="preserve">The vowels need to be surrounded by consonants or </w:t>
      </w:r>
      <w:r w:rsidR="004744C8">
        <w:t>whitespace</w:t>
      </w:r>
      <w:r w:rsidR="00C31288">
        <w:t xml:space="preserve"> characters on both sides</w:t>
      </w:r>
      <w:r w:rsidR="004744C8">
        <w:t xml:space="preserve"> or </w:t>
      </w:r>
      <w:r w:rsidR="00C31288">
        <w:t>one</w:t>
      </w:r>
      <w:r w:rsidR="004744C8">
        <w:t xml:space="preserve"> consonant and </w:t>
      </w:r>
      <w:r w:rsidR="00C31288">
        <w:t xml:space="preserve">one </w:t>
      </w:r>
      <w:r w:rsidR="004744C8">
        <w:t>whitespace</w:t>
      </w:r>
      <w:r w:rsidR="00C31288">
        <w:t xml:space="preserve"> character</w:t>
      </w:r>
      <w:r w:rsidR="004744C8">
        <w:t xml:space="preserve"> on either side</w:t>
      </w:r>
    </w:p>
    <w:p w14:paraId="530FA9CF" w14:textId="1D58A0C6" w:rsidR="004843B2" w:rsidRDefault="00233D3B" w:rsidP="004843B2">
      <w:pPr>
        <w:pStyle w:val="ListParagraph"/>
        <w:numPr>
          <w:ilvl w:val="0"/>
          <w:numId w:val="1"/>
        </w:numPr>
      </w:pPr>
      <w:r>
        <w:t>Vowels</w:t>
      </w:r>
      <w:r w:rsidR="0004592B">
        <w:t xml:space="preserve"> in</w:t>
      </w:r>
      <w:r w:rsidR="00993CD9">
        <w:t xml:space="preserve">clude </w:t>
      </w:r>
      <w:r>
        <w:t xml:space="preserve">the letter </w:t>
      </w:r>
      <w:r w:rsidR="00993CD9">
        <w:t>‘y’</w:t>
      </w:r>
      <w:r w:rsidR="004843B2">
        <w:t>, such as in ‘loudly’</w:t>
      </w:r>
      <w:r w:rsidR="009C120F">
        <w:t xml:space="preserve"> because ‘y’ still makes a vowel sound</w:t>
      </w:r>
      <w:r>
        <w:t xml:space="preserve"> </w:t>
      </w:r>
      <w:r w:rsidR="00E16285">
        <w:t>a</w:t>
      </w:r>
      <w:r>
        <w:t>s the nucleus of a syllable</w:t>
      </w:r>
    </w:p>
    <w:p w14:paraId="7925366B" w14:textId="2D55D26C" w:rsidR="004843B2" w:rsidRDefault="000772AB" w:rsidP="004843B2">
      <w:pPr>
        <w:pStyle w:val="ListParagraph"/>
        <w:numPr>
          <w:ilvl w:val="0"/>
          <w:numId w:val="1"/>
        </w:numPr>
      </w:pPr>
      <w:r>
        <w:t>As in</w:t>
      </w:r>
      <w:r w:rsidR="009A75E0">
        <w:t xml:space="preserve"> line with</w:t>
      </w:r>
      <w:r>
        <w:t xml:space="preserve"> the first bullet point, the vowels must </w:t>
      </w:r>
      <w:r w:rsidR="004843B2">
        <w:t>only</w:t>
      </w:r>
      <w:r>
        <w:t xml:space="preserve"> be single vowels</w:t>
      </w:r>
      <w:r w:rsidR="00874F88">
        <w:t xml:space="preserve"> </w:t>
      </w:r>
      <w:r w:rsidR="004843B2">
        <w:t>- so excluding</w:t>
      </w:r>
      <w:r w:rsidR="00993CD9">
        <w:t xml:space="preserve"> </w:t>
      </w:r>
      <w:r w:rsidR="009C120F">
        <w:t>consecutive</w:t>
      </w:r>
      <w:r w:rsidR="00993CD9">
        <w:t xml:space="preserve"> vowel</w:t>
      </w:r>
      <w:r w:rsidR="009C120F">
        <w:t>s</w:t>
      </w:r>
      <w:r w:rsidR="00993CD9">
        <w:t xml:space="preserve"> such as ‘</w:t>
      </w:r>
      <w:proofErr w:type="spellStart"/>
      <w:r w:rsidR="00993CD9">
        <w:t>ee</w:t>
      </w:r>
      <w:proofErr w:type="spellEnd"/>
      <w:r w:rsidR="00993CD9">
        <w:t>’ or ‘</w:t>
      </w:r>
      <w:proofErr w:type="spellStart"/>
      <w:r w:rsidR="00993CD9">
        <w:t>ou</w:t>
      </w:r>
      <w:proofErr w:type="spellEnd"/>
      <w:r w:rsidR="00993CD9">
        <w:t>’</w:t>
      </w:r>
      <w:r w:rsidR="004843B2">
        <w:t xml:space="preserve"> or ‘</w:t>
      </w:r>
      <w:proofErr w:type="spellStart"/>
      <w:r w:rsidR="004843B2">
        <w:t>ey</w:t>
      </w:r>
      <w:proofErr w:type="spellEnd"/>
      <w:r w:rsidR="004843B2">
        <w:t>’</w:t>
      </w:r>
      <w:r w:rsidR="00874F88">
        <w:t>. However, these double vowels would then not be counted as syllables due t</w:t>
      </w:r>
      <w:r w:rsidR="00077686">
        <w:t xml:space="preserve">o an adjacent vowel. </w:t>
      </w:r>
      <w:r w:rsidR="002A61A5">
        <w:t>In that case</w:t>
      </w:r>
      <w:r w:rsidR="00944A17">
        <w:t>,</w:t>
      </w:r>
      <w:r w:rsidR="00505FD4">
        <w:t xml:space="preserve"> </w:t>
      </w:r>
      <w:r w:rsidR="00A56CA4">
        <w:t xml:space="preserve">an appropriate syllable count </w:t>
      </w:r>
      <w:r w:rsidR="00944A17">
        <w:t>could look like</w:t>
      </w:r>
      <w:r w:rsidR="00A56CA4">
        <w:t xml:space="preserve"> </w:t>
      </w:r>
      <w:r w:rsidR="008F3338">
        <w:t>(</w:t>
      </w:r>
      <w:r w:rsidR="00A56CA4" w:rsidRPr="00F67B59">
        <w:rPr>
          <w:rFonts w:ascii="Courier New" w:hAnsi="Courier New" w:cs="Courier New"/>
        </w:rPr>
        <w:t>consonant/whitesp</w:t>
      </w:r>
      <w:r w:rsidR="00F67B59">
        <w:rPr>
          <w:rFonts w:ascii="Courier New" w:hAnsi="Courier New" w:cs="Courier New"/>
        </w:rPr>
        <w:t>a</w:t>
      </w:r>
      <w:r w:rsidR="00A56CA4" w:rsidRPr="00F67B59">
        <w:rPr>
          <w:rFonts w:ascii="Courier New" w:hAnsi="Courier New" w:cs="Courier New"/>
        </w:rPr>
        <w:t>ce + vowel + vowel</w:t>
      </w:r>
      <w:r w:rsidR="008F3338">
        <w:rPr>
          <w:rFonts w:ascii="Courier New" w:hAnsi="Courier New" w:cs="Courier New"/>
        </w:rPr>
        <w:t>)</w:t>
      </w:r>
      <w:r w:rsidR="008A799B">
        <w:t xml:space="preserve"> but NOT </w:t>
      </w:r>
      <w:r w:rsidR="008F3338">
        <w:t>(</w:t>
      </w:r>
      <w:r w:rsidR="008A799B" w:rsidRPr="00F67B59">
        <w:rPr>
          <w:rFonts w:ascii="Courier New" w:hAnsi="Courier New" w:cs="Courier New"/>
        </w:rPr>
        <w:t>vowel + vowel</w:t>
      </w:r>
      <w:r w:rsidR="00944A17">
        <w:rPr>
          <w:rFonts w:ascii="Courier New" w:hAnsi="Courier New" w:cs="Courier New"/>
        </w:rPr>
        <w:t xml:space="preserve"> + </w:t>
      </w:r>
      <w:r w:rsidR="00EC25AE" w:rsidRPr="00F67B59">
        <w:rPr>
          <w:rFonts w:ascii="Courier New" w:hAnsi="Courier New" w:cs="Courier New"/>
        </w:rPr>
        <w:t>consonant/white</w:t>
      </w:r>
      <w:r w:rsidR="00F67B59" w:rsidRPr="00F67B59">
        <w:rPr>
          <w:rFonts w:ascii="Courier New" w:hAnsi="Courier New" w:cs="Courier New"/>
        </w:rPr>
        <w:t>s</w:t>
      </w:r>
      <w:r w:rsidR="00EC25AE" w:rsidRPr="00F67B59">
        <w:rPr>
          <w:rFonts w:ascii="Courier New" w:hAnsi="Courier New" w:cs="Courier New"/>
        </w:rPr>
        <w:t>pace</w:t>
      </w:r>
      <w:r w:rsidR="008F3338">
        <w:rPr>
          <w:rFonts w:ascii="Courier New" w:hAnsi="Courier New" w:cs="Courier New"/>
        </w:rPr>
        <w:t>)</w:t>
      </w:r>
      <w:r w:rsidR="00EC25AE">
        <w:t xml:space="preserve">, </w:t>
      </w:r>
      <w:r w:rsidR="00944A17">
        <w:t>then the</w:t>
      </w:r>
      <w:r w:rsidR="00EC25AE">
        <w:t xml:space="preserve"> first vowel in a chain of consecutive vowels </w:t>
      </w:r>
      <w:r w:rsidR="00EC25AE">
        <w:lastRenderedPageBreak/>
        <w:t>would be counted, but further vowels in that cluster would not</w:t>
      </w:r>
      <w:r w:rsidR="00F67B59">
        <w:t>.</w:t>
      </w:r>
      <w:r w:rsidR="00756EFA">
        <w:t xml:space="preserve"> This should still work for words like ‘yacht’.</w:t>
      </w:r>
    </w:p>
    <w:p w14:paraId="0189101E" w14:textId="5AA474C7" w:rsidR="00641BA9" w:rsidRDefault="004843B2" w:rsidP="004843B2">
      <w:pPr>
        <w:pStyle w:val="ListParagraph"/>
        <w:numPr>
          <w:ilvl w:val="0"/>
          <w:numId w:val="1"/>
        </w:numPr>
      </w:pPr>
      <w:r>
        <w:t>Must</w:t>
      </w:r>
      <w:r w:rsidR="00993CD9">
        <w:t xml:space="preserve"> exclude silent ‘e’s at the ends of words</w:t>
      </w:r>
      <w:r>
        <w:t>, such as in ‘knife’</w:t>
      </w:r>
      <w:r w:rsidR="0041696C">
        <w:t xml:space="preserve"> </w:t>
      </w:r>
      <w:r w:rsidR="00954826">
        <w:t xml:space="preserve">– </w:t>
      </w:r>
      <w:r w:rsidR="00A57F04">
        <w:t>exclusion of</w:t>
      </w:r>
      <w:r w:rsidR="00954826">
        <w:t xml:space="preserve"> </w:t>
      </w:r>
      <w:r w:rsidR="00A57F04" w:rsidRPr="008F3338">
        <w:rPr>
          <w:rFonts w:ascii="Courier New" w:hAnsi="Courier New" w:cs="Courier New"/>
        </w:rPr>
        <w:t>‘</w:t>
      </w:r>
      <w:r w:rsidR="00954826" w:rsidRPr="008F3338">
        <w:rPr>
          <w:rFonts w:ascii="Courier New" w:hAnsi="Courier New" w:cs="Courier New"/>
        </w:rPr>
        <w:t>e</w:t>
      </w:r>
      <w:r w:rsidR="00A57F04" w:rsidRPr="008F3338">
        <w:rPr>
          <w:rFonts w:ascii="Courier New" w:hAnsi="Courier New" w:cs="Courier New"/>
        </w:rPr>
        <w:t xml:space="preserve">’ </w:t>
      </w:r>
      <w:r w:rsidR="00954826" w:rsidRPr="008F3338">
        <w:rPr>
          <w:rFonts w:ascii="Courier New" w:hAnsi="Courier New" w:cs="Courier New"/>
        </w:rPr>
        <w:t>+</w:t>
      </w:r>
      <w:r w:rsidR="00A57F04" w:rsidRPr="008F3338">
        <w:rPr>
          <w:rFonts w:ascii="Courier New" w:hAnsi="Courier New" w:cs="Courier New"/>
        </w:rPr>
        <w:t xml:space="preserve"> </w:t>
      </w:r>
      <w:r w:rsidR="00954826" w:rsidRPr="008F3338">
        <w:rPr>
          <w:rFonts w:ascii="Courier New" w:hAnsi="Courier New" w:cs="Courier New"/>
        </w:rPr>
        <w:t>whitespace</w:t>
      </w:r>
      <w:r w:rsidR="00954826">
        <w:t xml:space="preserve"> </w:t>
      </w:r>
    </w:p>
    <w:p w14:paraId="1B476D58" w14:textId="66018DBD" w:rsidR="00D849F4" w:rsidRDefault="00D849F4" w:rsidP="00A150D6">
      <w:pPr>
        <w:ind w:firstLine="415"/>
      </w:pPr>
      <w:r>
        <w:t>When creating usable text, I will clean the a</w:t>
      </w:r>
      <w:r w:rsidR="00E9481E">
        <w:t>rticles manually to ensure headers and</w:t>
      </w:r>
      <w:r w:rsidR="00A150D6">
        <w:t xml:space="preserve"> </w:t>
      </w:r>
      <w:r w:rsidR="00E9481E">
        <w:t xml:space="preserve">footers are removed, </w:t>
      </w:r>
      <w:r w:rsidR="000633E6">
        <w:t>along with</w:t>
      </w:r>
      <w:r w:rsidR="000A514E">
        <w:t xml:space="preserve"> graphs and tables</w:t>
      </w:r>
      <w:r w:rsidR="000633E6">
        <w:t xml:space="preserve">, and </w:t>
      </w:r>
      <w:r w:rsidR="009025F4">
        <w:t>information title pages and reference lists.</w:t>
      </w:r>
    </w:p>
    <w:p w14:paraId="599587FD" w14:textId="4ED9C074" w:rsidR="00A150D6" w:rsidRDefault="00A150D6" w:rsidP="00A150D6">
      <w:pPr>
        <w:ind w:firstLine="415"/>
      </w:pPr>
      <w:r>
        <w:t>There will be multiple functions</w:t>
      </w:r>
      <w:r w:rsidR="00526963">
        <w:t xml:space="preserve"> to handle the counting and calculations</w:t>
      </w:r>
      <w:r w:rsidR="00EF271D">
        <w:t xml:space="preserve"> shown in the tentative list below</w:t>
      </w:r>
      <w:r w:rsidR="00526963">
        <w:t>:</w:t>
      </w:r>
    </w:p>
    <w:p w14:paraId="7FBBA1B6" w14:textId="1E24E5B2" w:rsidR="00526963" w:rsidRDefault="008D18E2" w:rsidP="00526963">
      <w:pPr>
        <w:pStyle w:val="ListParagraph"/>
        <w:numPr>
          <w:ilvl w:val="0"/>
          <w:numId w:val="2"/>
        </w:numPr>
      </w:pPr>
      <w:proofErr w:type="spellStart"/>
      <w:r w:rsidRPr="00D75BFA">
        <w:rPr>
          <w:rFonts w:ascii="Courier New" w:hAnsi="Courier New" w:cs="Courier New"/>
        </w:rPr>
        <w:t>s</w:t>
      </w:r>
      <w:r w:rsidR="00EF271D" w:rsidRPr="00D75BFA">
        <w:rPr>
          <w:rFonts w:ascii="Courier New" w:hAnsi="Courier New" w:cs="Courier New"/>
        </w:rPr>
        <w:t>entence_count</w:t>
      </w:r>
      <w:proofErr w:type="spellEnd"/>
      <w:r w:rsidR="00EF271D">
        <w:t xml:space="preserve"> to count the number of sentences</w:t>
      </w:r>
    </w:p>
    <w:p w14:paraId="0E00DBBD" w14:textId="144A90E9" w:rsidR="00EF271D" w:rsidRDefault="008D18E2" w:rsidP="00526963">
      <w:pPr>
        <w:pStyle w:val="ListParagraph"/>
        <w:numPr>
          <w:ilvl w:val="0"/>
          <w:numId w:val="2"/>
        </w:numPr>
      </w:pPr>
      <w:proofErr w:type="spellStart"/>
      <w:r w:rsidRPr="00D75BFA">
        <w:rPr>
          <w:rFonts w:ascii="Courier New" w:hAnsi="Courier New" w:cs="Courier New"/>
        </w:rPr>
        <w:t>w</w:t>
      </w:r>
      <w:r w:rsidR="00EF271D" w:rsidRPr="00D75BFA">
        <w:rPr>
          <w:rFonts w:ascii="Courier New" w:hAnsi="Courier New" w:cs="Courier New"/>
        </w:rPr>
        <w:t>ord_count</w:t>
      </w:r>
      <w:proofErr w:type="spellEnd"/>
      <w:r w:rsidR="00EF271D">
        <w:t xml:space="preserve"> to count the number of words</w:t>
      </w:r>
    </w:p>
    <w:p w14:paraId="2B59F897" w14:textId="1446FCA4" w:rsidR="00EF271D" w:rsidRDefault="008D18E2" w:rsidP="00526963">
      <w:pPr>
        <w:pStyle w:val="ListParagraph"/>
        <w:numPr>
          <w:ilvl w:val="0"/>
          <w:numId w:val="2"/>
        </w:numPr>
      </w:pPr>
      <w:proofErr w:type="spellStart"/>
      <w:r w:rsidRPr="00D75BFA">
        <w:rPr>
          <w:rFonts w:ascii="Courier New" w:hAnsi="Courier New" w:cs="Courier New"/>
        </w:rPr>
        <w:t>syllable_count</w:t>
      </w:r>
      <w:proofErr w:type="spellEnd"/>
      <w:r>
        <w:t xml:space="preserve"> to count the number of syllables</w:t>
      </w:r>
    </w:p>
    <w:p w14:paraId="58616C74" w14:textId="7B4A84B3" w:rsidR="008D18E2" w:rsidRDefault="00E51395" w:rsidP="00526963">
      <w:pPr>
        <w:pStyle w:val="ListParagraph"/>
        <w:numPr>
          <w:ilvl w:val="0"/>
          <w:numId w:val="2"/>
        </w:numPr>
      </w:pPr>
      <w:proofErr w:type="spellStart"/>
      <w:r w:rsidRPr="00D75BFA">
        <w:rPr>
          <w:rFonts w:ascii="Courier New" w:hAnsi="Courier New" w:cs="Courier New"/>
        </w:rPr>
        <w:t>flesch_calculation</w:t>
      </w:r>
      <w:proofErr w:type="spellEnd"/>
      <w:r>
        <w:t xml:space="preserve"> to calculate the </w:t>
      </w:r>
      <w:r w:rsidR="008C5A2B">
        <w:t xml:space="preserve">Flesch </w:t>
      </w:r>
      <w:r w:rsidR="001A5E00">
        <w:t>Reading Ease</w:t>
      </w:r>
      <w:r>
        <w:t xml:space="preserve"> score based on the counts f</w:t>
      </w:r>
      <w:r w:rsidR="00E92809">
        <w:t>ro</w:t>
      </w:r>
      <w:r>
        <w:t xml:space="preserve">m the previous </w:t>
      </w:r>
      <w:r w:rsidR="00A05AD0">
        <w:t>functions</w:t>
      </w:r>
      <w:r w:rsidR="008C5A2B">
        <w:t xml:space="preserve"> </w:t>
      </w:r>
      <w:r w:rsidR="001546FA">
        <w:t>using the formula shown above</w:t>
      </w:r>
      <w:r w:rsidR="00A05AD0">
        <w:t xml:space="preserve">. This function will return the readability score as well as the US education bracket and the notes for </w:t>
      </w:r>
      <w:r w:rsidR="003D25DA">
        <w:t>perspective</w:t>
      </w:r>
    </w:p>
    <w:p w14:paraId="7B23D687" w14:textId="1B5089F5" w:rsidR="003D25DA" w:rsidRDefault="003C6436" w:rsidP="00526963">
      <w:pPr>
        <w:pStyle w:val="ListParagraph"/>
        <w:numPr>
          <w:ilvl w:val="0"/>
          <w:numId w:val="2"/>
        </w:numPr>
      </w:pPr>
      <w:proofErr w:type="spellStart"/>
      <w:r w:rsidRPr="00D75BFA">
        <w:rPr>
          <w:rFonts w:ascii="Courier New" w:hAnsi="Courier New" w:cs="Courier New"/>
        </w:rPr>
        <w:t>article_comparison</w:t>
      </w:r>
      <w:proofErr w:type="spellEnd"/>
      <w:r>
        <w:t xml:space="preserve"> to bring a visualis</w:t>
      </w:r>
      <w:r w:rsidR="0024626A">
        <w:t xml:space="preserve">ation, probably a bar chart, to easily compare the readability of different texts. This would take </w:t>
      </w:r>
      <w:r w:rsidR="00333442">
        <w:t xml:space="preserve">an unspecified number of </w:t>
      </w:r>
      <w:r w:rsidR="00B37E62">
        <w:t xml:space="preserve">parameters </w:t>
      </w:r>
      <w:r w:rsidR="008C5A2B">
        <w:t xml:space="preserve">and run each through the </w:t>
      </w:r>
      <w:proofErr w:type="spellStart"/>
      <w:r w:rsidR="008C5A2B" w:rsidRPr="00D75BFA">
        <w:rPr>
          <w:rFonts w:ascii="Courier New" w:hAnsi="Courier New" w:cs="Courier New"/>
        </w:rPr>
        <w:t>flesch_calculation</w:t>
      </w:r>
      <w:proofErr w:type="spellEnd"/>
      <w:r w:rsidR="008C5A2B">
        <w:t xml:space="preserve"> function to gain their Flesch </w:t>
      </w:r>
      <w:r w:rsidR="001A5E00">
        <w:t>Reading Ease</w:t>
      </w:r>
      <w:r w:rsidR="001546FA">
        <w:t>, and then plot these scores in a bar chart for easy visual comparison</w:t>
      </w:r>
      <w:r w:rsidR="00A1207B">
        <w:t xml:space="preserve"> and could theoretically be used to compare articles, academic fields, literary genres, or literature through time</w:t>
      </w:r>
      <w:r w:rsidR="00696030">
        <w:t xml:space="preserve"> (or i</w:t>
      </w:r>
      <w:r w:rsidR="00E12B5B">
        <w:t>n cases of comparing the same linguistic articles with significant colloquial participant data removed)</w:t>
      </w:r>
      <w:r w:rsidR="00A1207B">
        <w:t>.</w:t>
      </w:r>
    </w:p>
    <w:p w14:paraId="5CA5F590" w14:textId="09D7D9DB" w:rsidR="00CA224C" w:rsidRDefault="008D3760" w:rsidP="00381191">
      <w:pPr>
        <w:ind w:firstLine="720"/>
      </w:pPr>
      <w:r>
        <w:t xml:space="preserve">Testing will involve </w:t>
      </w:r>
      <w:r w:rsidR="00A71EF1">
        <w:t xml:space="preserve">running article texts that I have </w:t>
      </w:r>
      <w:r w:rsidR="00A30F1E">
        <w:t>gathered through University libraries and checking the scores I get to ones created by Reading Ease calculators on the internet, such as</w:t>
      </w:r>
      <w:r w:rsidR="00A85578">
        <w:t xml:space="preserve"> one from</w:t>
      </w:r>
      <w:r w:rsidR="00A30F1E">
        <w:t xml:space="preserve"> </w:t>
      </w:r>
      <w:hyperlink r:id="rId8" w:history="1">
        <w:r w:rsidR="00381191" w:rsidRPr="00E31769">
          <w:rPr>
            <w:rStyle w:val="Hyperlink"/>
          </w:rPr>
          <w:t>https://readabilityformulas.com/free-readability-formula-tests.php</w:t>
        </w:r>
      </w:hyperlink>
      <w:r w:rsidR="00381191">
        <w:t xml:space="preserve">. Given how differently </w:t>
      </w:r>
      <w:r w:rsidR="00E87821">
        <w:t>the calculators</w:t>
      </w:r>
      <w:r w:rsidR="00381191">
        <w:t xml:space="preserve"> may define words and syllables I will use multiple calculators and note the mean score. I will then compare the score from my calculator and see if it is near the mean, and within the range of scores from the internet calculators</w:t>
      </w:r>
      <w:r w:rsidR="00A85578">
        <w:t>.</w:t>
      </w:r>
      <w:r w:rsidR="00462818">
        <w:t xml:space="preserve"> The </w:t>
      </w:r>
      <w:r w:rsidR="00A4704A">
        <w:t>function testing will be done using</w:t>
      </w:r>
      <w:r w:rsidR="00D75BFA">
        <w:t xml:space="preserve"> Python</w:t>
      </w:r>
      <w:r w:rsidR="00A4704A">
        <w:t xml:space="preserve"> IDLE and </w:t>
      </w:r>
      <w:proofErr w:type="spellStart"/>
      <w:r w:rsidR="00A4704A">
        <w:t>Jupyter</w:t>
      </w:r>
      <w:proofErr w:type="spellEnd"/>
      <w:r w:rsidR="00A4704A">
        <w:t xml:space="preserve"> Notebooks, with </w:t>
      </w:r>
      <w:r w:rsidR="00A4704A">
        <w:lastRenderedPageBreak/>
        <w:t xml:space="preserve">the final project presented in a </w:t>
      </w:r>
      <w:proofErr w:type="spellStart"/>
      <w:r w:rsidR="00A4704A">
        <w:t>Jupyter</w:t>
      </w:r>
      <w:proofErr w:type="spellEnd"/>
      <w:r w:rsidR="00A4704A">
        <w:t xml:space="preserve"> Notebook</w:t>
      </w:r>
      <w:r w:rsidR="002D4160">
        <w:t xml:space="preserve"> using code and </w:t>
      </w:r>
      <w:proofErr w:type="spellStart"/>
      <w:r w:rsidR="002D4160">
        <w:t>MarkDown</w:t>
      </w:r>
      <w:proofErr w:type="spellEnd"/>
      <w:r w:rsidR="002D4160">
        <w:t xml:space="preserve">. Microsoft Word may be used in the cleaning of the data before being transferred to a </w:t>
      </w:r>
      <w:r w:rsidR="001B5C51">
        <w:t>text file.</w:t>
      </w:r>
    </w:p>
    <w:p w14:paraId="7A38E2B4" w14:textId="771D766B" w:rsidR="006C565F" w:rsidRDefault="00E81C95" w:rsidP="001B5C51">
      <w:pPr>
        <w:ind w:firstLine="720"/>
      </w:pPr>
      <w:r>
        <w:t>The functions will not be able to assess readability with more nuance by recognising short</w:t>
      </w:r>
      <w:r w:rsidR="00C14ADD">
        <w:t xml:space="preserve"> obscure words as difficult and long well-known words as easy</w:t>
      </w:r>
      <w:r w:rsidR="00D56E52">
        <w:t xml:space="preserve"> because the Flesch Reading Ease scores also cannot do this</w:t>
      </w:r>
      <w:r w:rsidR="00C14ADD">
        <w:t xml:space="preserve">; however, it is a good start </w:t>
      </w:r>
      <w:r w:rsidR="00285761">
        <w:t>for</w:t>
      </w:r>
      <w:r w:rsidR="00C14ADD">
        <w:t xml:space="preserve"> </w:t>
      </w:r>
      <w:r w:rsidR="003956FB">
        <w:t xml:space="preserve">quickly understanding how readable a piece of writing could be, and how accessible it is to people </w:t>
      </w:r>
      <w:r w:rsidR="008D3760">
        <w:t>within, and outside university education.</w:t>
      </w:r>
    </w:p>
    <w:sectPr w:rsidR="006C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568"/>
    <w:multiLevelType w:val="hybridMultilevel"/>
    <w:tmpl w:val="9F32E54A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5C376177"/>
    <w:multiLevelType w:val="hybridMultilevel"/>
    <w:tmpl w:val="B94A0552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NDQ0MDUyMDGxMLdQ0lEKTi0uzszPAykwqgUAF47jBCwAAAA="/>
  </w:docVars>
  <w:rsids>
    <w:rsidRoot w:val="00EE3AB9"/>
    <w:rsid w:val="000000A7"/>
    <w:rsid w:val="00007F71"/>
    <w:rsid w:val="0002016F"/>
    <w:rsid w:val="00044727"/>
    <w:rsid w:val="0004592B"/>
    <w:rsid w:val="00046405"/>
    <w:rsid w:val="000633E6"/>
    <w:rsid w:val="000772AB"/>
    <w:rsid w:val="00077686"/>
    <w:rsid w:val="0008413C"/>
    <w:rsid w:val="000922EA"/>
    <w:rsid w:val="000A514E"/>
    <w:rsid w:val="000D0534"/>
    <w:rsid w:val="000E78EE"/>
    <w:rsid w:val="001546FA"/>
    <w:rsid w:val="001630E6"/>
    <w:rsid w:val="00181CAC"/>
    <w:rsid w:val="00185A11"/>
    <w:rsid w:val="001A17F4"/>
    <w:rsid w:val="001A5E00"/>
    <w:rsid w:val="001B5C51"/>
    <w:rsid w:val="001E3E38"/>
    <w:rsid w:val="00206EF9"/>
    <w:rsid w:val="0023396C"/>
    <w:rsid w:val="00233D3B"/>
    <w:rsid w:val="0024626A"/>
    <w:rsid w:val="002536CC"/>
    <w:rsid w:val="00285761"/>
    <w:rsid w:val="002A161C"/>
    <w:rsid w:val="002A4898"/>
    <w:rsid w:val="002A61A5"/>
    <w:rsid w:val="002D4160"/>
    <w:rsid w:val="002D61C9"/>
    <w:rsid w:val="003312F8"/>
    <w:rsid w:val="00333442"/>
    <w:rsid w:val="00337667"/>
    <w:rsid w:val="00367528"/>
    <w:rsid w:val="00381191"/>
    <w:rsid w:val="00392898"/>
    <w:rsid w:val="003956FB"/>
    <w:rsid w:val="003C6436"/>
    <w:rsid w:val="003D25DA"/>
    <w:rsid w:val="003D685A"/>
    <w:rsid w:val="004008EF"/>
    <w:rsid w:val="0041696C"/>
    <w:rsid w:val="00462818"/>
    <w:rsid w:val="004744C8"/>
    <w:rsid w:val="004843B2"/>
    <w:rsid w:val="00496D70"/>
    <w:rsid w:val="004C1B1A"/>
    <w:rsid w:val="00505FD4"/>
    <w:rsid w:val="00526963"/>
    <w:rsid w:val="00553483"/>
    <w:rsid w:val="005A052A"/>
    <w:rsid w:val="005C4797"/>
    <w:rsid w:val="005E0F9F"/>
    <w:rsid w:val="0062619D"/>
    <w:rsid w:val="00637F66"/>
    <w:rsid w:val="00641BA9"/>
    <w:rsid w:val="00696030"/>
    <w:rsid w:val="006962E9"/>
    <w:rsid w:val="006B6C15"/>
    <w:rsid w:val="006C565F"/>
    <w:rsid w:val="006F198D"/>
    <w:rsid w:val="00742D84"/>
    <w:rsid w:val="00756EFA"/>
    <w:rsid w:val="00772B7A"/>
    <w:rsid w:val="007B1007"/>
    <w:rsid w:val="007D1CDE"/>
    <w:rsid w:val="007E0AEA"/>
    <w:rsid w:val="007F69F3"/>
    <w:rsid w:val="00803A24"/>
    <w:rsid w:val="00831F67"/>
    <w:rsid w:val="00845D0A"/>
    <w:rsid w:val="008749E7"/>
    <w:rsid w:val="00874F88"/>
    <w:rsid w:val="00896007"/>
    <w:rsid w:val="008A1982"/>
    <w:rsid w:val="008A799B"/>
    <w:rsid w:val="008C5A2B"/>
    <w:rsid w:val="008D18E2"/>
    <w:rsid w:val="008D3760"/>
    <w:rsid w:val="008F2579"/>
    <w:rsid w:val="008F3338"/>
    <w:rsid w:val="009025F4"/>
    <w:rsid w:val="00943169"/>
    <w:rsid w:val="00944A17"/>
    <w:rsid w:val="00952B1A"/>
    <w:rsid w:val="00952C60"/>
    <w:rsid w:val="00954826"/>
    <w:rsid w:val="0099285A"/>
    <w:rsid w:val="00993CD9"/>
    <w:rsid w:val="00995FB4"/>
    <w:rsid w:val="009A75E0"/>
    <w:rsid w:val="009C120F"/>
    <w:rsid w:val="009E4084"/>
    <w:rsid w:val="00A05AD0"/>
    <w:rsid w:val="00A1207B"/>
    <w:rsid w:val="00A150D6"/>
    <w:rsid w:val="00A204D8"/>
    <w:rsid w:val="00A30F1E"/>
    <w:rsid w:val="00A34E65"/>
    <w:rsid w:val="00A4704A"/>
    <w:rsid w:val="00A514C4"/>
    <w:rsid w:val="00A56CA4"/>
    <w:rsid w:val="00A57F04"/>
    <w:rsid w:val="00A7179E"/>
    <w:rsid w:val="00A71EF1"/>
    <w:rsid w:val="00A83F91"/>
    <w:rsid w:val="00A85578"/>
    <w:rsid w:val="00AB0C90"/>
    <w:rsid w:val="00AC4A79"/>
    <w:rsid w:val="00AF58CE"/>
    <w:rsid w:val="00B04B9A"/>
    <w:rsid w:val="00B37E62"/>
    <w:rsid w:val="00B53A58"/>
    <w:rsid w:val="00B77AEB"/>
    <w:rsid w:val="00BC605F"/>
    <w:rsid w:val="00BE1C94"/>
    <w:rsid w:val="00C10530"/>
    <w:rsid w:val="00C14ADD"/>
    <w:rsid w:val="00C31288"/>
    <w:rsid w:val="00C421C2"/>
    <w:rsid w:val="00C43E84"/>
    <w:rsid w:val="00C61F0B"/>
    <w:rsid w:val="00CA224C"/>
    <w:rsid w:val="00CD27E7"/>
    <w:rsid w:val="00D11140"/>
    <w:rsid w:val="00D21985"/>
    <w:rsid w:val="00D50983"/>
    <w:rsid w:val="00D53404"/>
    <w:rsid w:val="00D56E52"/>
    <w:rsid w:val="00D6180E"/>
    <w:rsid w:val="00D75BFA"/>
    <w:rsid w:val="00D849F4"/>
    <w:rsid w:val="00E06340"/>
    <w:rsid w:val="00E102E2"/>
    <w:rsid w:val="00E12B5B"/>
    <w:rsid w:val="00E16285"/>
    <w:rsid w:val="00E51395"/>
    <w:rsid w:val="00E81C95"/>
    <w:rsid w:val="00E838B4"/>
    <w:rsid w:val="00E87821"/>
    <w:rsid w:val="00E92809"/>
    <w:rsid w:val="00E9481E"/>
    <w:rsid w:val="00EC25AE"/>
    <w:rsid w:val="00ED2B24"/>
    <w:rsid w:val="00ED5FF2"/>
    <w:rsid w:val="00EE3AB9"/>
    <w:rsid w:val="00EF271D"/>
    <w:rsid w:val="00F67B59"/>
    <w:rsid w:val="00FA3C75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7F35"/>
  <w15:chartTrackingRefBased/>
  <w15:docId w15:val="{F6394FF4-F1F6-4F96-AB51-EFF7D562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B9"/>
    <w:pPr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5FB4"/>
    <w:pPr>
      <w:keepNext/>
      <w:keepLines/>
      <w:spacing w:before="240" w:after="120" w:line="259" w:lineRule="auto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FB4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FB4"/>
    <w:pPr>
      <w:keepNext/>
      <w:keepLines/>
      <w:spacing w:before="40" w:line="259" w:lineRule="auto"/>
      <w:outlineLvl w:val="2"/>
    </w:pPr>
    <w:rPr>
      <w:rFonts w:eastAsiaTheme="majorEastAsia" w:cstheme="majorBidi"/>
      <w:b/>
      <w:i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B4"/>
    <w:rPr>
      <w:rFonts w:eastAsiaTheme="majorEastAsia" w:cstheme="majorBidi"/>
      <w:b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FB4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FB4"/>
    <w:rPr>
      <w:rFonts w:eastAsiaTheme="majorEastAsia" w:cstheme="majorBidi"/>
      <w:b/>
      <w:i/>
      <w:szCs w:val="24"/>
      <w:lang w:val="en-US"/>
    </w:rPr>
  </w:style>
  <w:style w:type="paragraph" w:customStyle="1" w:styleId="smallcaps">
    <w:name w:val="small caps"/>
    <w:basedOn w:val="Normal"/>
    <w:link w:val="smallcapsChar"/>
    <w:qFormat/>
    <w:rsid w:val="005E0F9F"/>
    <w:pPr>
      <w:spacing w:after="160"/>
    </w:pPr>
    <w:rPr>
      <w:rFonts w:cstheme="minorHAnsi"/>
      <w:smallCaps/>
    </w:rPr>
  </w:style>
  <w:style w:type="character" w:customStyle="1" w:styleId="smallcapsChar">
    <w:name w:val="small caps Char"/>
    <w:basedOn w:val="DefaultParagraphFont"/>
    <w:link w:val="smallcaps"/>
    <w:rsid w:val="005E0F9F"/>
    <w:rPr>
      <w:rFonts w:cstheme="minorHAnsi"/>
      <w:smallCaps/>
    </w:rPr>
  </w:style>
  <w:style w:type="table" w:styleId="TableGrid">
    <w:name w:val="Table Grid"/>
    <w:basedOn w:val="TableNormal"/>
    <w:uiPriority w:val="39"/>
    <w:rsid w:val="001E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1F67"/>
    <w:rPr>
      <w:color w:val="808080"/>
    </w:rPr>
  </w:style>
  <w:style w:type="paragraph" w:styleId="ListParagraph">
    <w:name w:val="List Paragraph"/>
    <w:basedOn w:val="Normal"/>
    <w:uiPriority w:val="34"/>
    <w:qFormat/>
    <w:rsid w:val="00484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abilityformulas.com/free-readability-formula-test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Flesch%E2%80%93Kincaid_readability_te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lesch%E2%80%93Kincaid_readability_tes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Wiknd4</b:Tag>
    <b:SourceType>InternetSite</b:SourceType>
    <b:Guid>{72D93EA2-D289-411B-B6BA-E507C49A2A20}</b:Guid>
    <b:Title>Flesch reading ease</b:Title>
    <b:Year>n.d.</b:Year>
    <b:Author>
      <b:Author>
        <b:Corporate>Wikipedia</b:Corporate>
      </b:Author>
    </b:Author>
    <b:InternetSiteTitle>Flesch-Kincaid readability tests</b:InternetSiteTitle>
    <b:URL>accessed on 20 November, 2021 from: https://en.wikipedia.org/wiki/Flesch%E2%80%93Kincaid_readability_tests</b:URL>
    <b:RefOrder>1</b:RefOrder>
  </b:Source>
</b:Sources>
</file>

<file path=customXml/itemProps1.xml><?xml version="1.0" encoding="utf-8"?>
<ds:datastoreItem xmlns:ds="http://schemas.openxmlformats.org/officeDocument/2006/customXml" ds:itemID="{6396E656-F5BE-4B35-8D9B-55D540BC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Warner</dc:creator>
  <cp:keywords/>
  <dc:description/>
  <cp:lastModifiedBy>Holly Warner</cp:lastModifiedBy>
  <cp:revision>2</cp:revision>
  <dcterms:created xsi:type="dcterms:W3CDTF">2021-11-28T13:27:00Z</dcterms:created>
  <dcterms:modified xsi:type="dcterms:W3CDTF">2021-11-28T13:27:00Z</dcterms:modified>
</cp:coreProperties>
</file>