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0"/>
      </w:pPr>
      <w:r>
        <w:t xml:space="preserve">PlayLive Floor App — Stakeholder Package</w:t>
      </w:r>
    </w:p>
    <w:p>
      <w:pPr>
        <w:spacing w:after="120"/>
      </w:pPr>
      <w:r>
        <w:rPr>
          <w:b/>
          <w:bCs/>
        </w:rPr>
        <w:t xml:space="preserve">Prepared:</w:t>
      </w:r>
      <w:r>
        <w:t xml:space="preserve"> 16 July 2026 · </w:t>
      </w:r>
      <w:r>
        <w:rPr>
          <w:b/>
          <w:bCs/>
        </w:rPr>
        <w:t xml:space="preserve">Project week:</w:t>
      </w:r>
      <w:r>
        <w:t xml:space="preserve"> 8 of 12 (build phase)</w:t>
      </w:r>
    </w:p>
    <w:p>
      <w:pPr>
        <w:spacing w:after="120"/>
      </w:pPr>
      <w:r>
        <w:t xml:space="preserve">Welcome! This package is everything you need to understand where the PlayLive Floor App is up to and to start using the live testing environment.</w:t>
      </w:r>
    </w:p>
    <w:p>
      <w:pPr>
        <w:pStyle w:val="Heading2"/>
        <w:spacing w:after="120" w:before="240"/>
      </w:pPr>
      <w:r>
        <w:t xml:space="preserve">What is the Floor App?</w:t>
      </w:r>
    </w:p>
    <w:p>
      <w:pPr>
        <w:spacing w:after="120"/>
      </w:pPr>
      <w:r>
        <w:t xml:space="preserve">A custom tournament management system built for PlayLive Melbourne to replace Casinoware. Floor staff use it to run tournaments live: the clock, seating and table balancing, player registration, buy-ins by every payment method the venue takes, a per-player wallet ledger, payouts, and end-of-day reconciliation.</w:t>
      </w:r>
    </w:p>
    <w:p>
      <w:pPr>
        <w:spacing w:after="120"/>
      </w:pPr>
      <w:r>
        <w:t xml:space="preserve">It is one of three connected apps: the </w:t>
      </w:r>
      <w:r>
        <w:rPr>
          <w:b/>
          <w:bCs/>
        </w:rPr>
        <w:t xml:space="preserve">Floor App</w:t>
      </w:r>
      <w:r>
        <w:t xml:space="preserve"> (this one — the operational tool for staff), the </w:t>
      </w:r>
      <w:r>
        <w:rPr>
          <w:b/>
          <w:bCs/>
        </w:rPr>
        <w:t xml:space="preserve">Player App</w:t>
      </w:r>
      <w:r>
        <w:t xml:space="preserve"> (player-facing mobile app, separate project), and the </w:t>
      </w:r>
      <w:r>
        <w:rPr>
          <w:b/>
          <w:bCs/>
        </w:rPr>
        <w:t xml:space="preserve">Analytics Dashboard</w:t>
      </w:r>
      <w:r>
        <w:t xml:space="preserve"> (management reporting, separate project). All three share one database; the Floor App is the source of truth that the other two read.</w:t>
      </w:r>
    </w:p>
    <w:p>
      <w:pPr>
        <w:pStyle w:val="Heading2"/>
        <w:spacing w:after="120" w:before="240"/>
      </w:pPr>
      <w:r>
        <w:t xml:space="preserve">Accessing the testing environment</w:t>
      </w:r>
    </w:p>
    <w:p>
      <w:pPr>
        <w:spacing w:after="120"/>
      </w:pPr>
      <w:r>
        <w:t xml:space="preserve">The app is live on the internet — no installation, works in any browser on PC, iPad, or phone: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Primary address:</w:t>
      </w:r>
      <w:r>
        <w:t xml:space="preserve"> https://admin.playlive.melbourne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Backup address (same app):</w:t>
      </w:r>
      <w:r>
        <w:t xml:space="preserve"> https://playlive-floor.web.app</w:t>
      </w:r>
    </w:p>
    <w:p>
      <w:pPr>
        <w:pStyle w:val="Heading3"/>
        <w:spacing w:after="120" w:before="240"/>
      </w:pPr>
      <w:r>
        <w:t xml:space="preserve">Logging in</w:t>
      </w:r>
    </w:p>
    <w:p>
      <w:pPr>
        <w:spacing w:after="120"/>
      </w:pPr>
      <w:r>
        <w:t xml:space="preserve">Four test accounts exist, one per staff role. Use the one matching the role you're testing — the app genuinely looks and behaves differently per role.</w:t>
      </w:r>
    </w:p>
    <w:tbl>
      <w:tblPr>
        <w:tblW w:type="dxa" w:w="9746"/>
        <w:tblBorders>
          <w:top w:val="single" w:color="C9C9C9" w:sz="4"/>
          <w:left w:val="single" w:color="C9C9C9" w:sz="4"/>
          <w:bottom w:val="single" w:color="C9C9C9" w:sz="4"/>
          <w:right w:val="single" w:color="C9C9C9" w:sz="4"/>
          <w:insideH w:val="single" w:color="C9C9C9" w:sz="4"/>
          <w:insideV w:val="single" w:color="C9C9C9" w:sz="4"/>
        </w:tblBorders>
      </w:tblPr>
      <w:tblGrid>
        <w:gridCol w:w="3249"/>
        <w:gridCol w:w="3249"/>
        <w:gridCol w:w="3249"/>
      </w:tblGrid>
      <w:tr>
        <w:trPr>
          <w:tblHeader/>
        </w:trPr>
        <w:tc>
          <w:tcPr>
            <w:tcW w:type="dxa" w:w="3249"/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Login email</w:t>
            </w:r>
          </w:p>
        </w:tc>
        <w:tc>
          <w:tcPr>
            <w:tcW w:type="dxa" w:w="3249"/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Role</w:t>
            </w:r>
          </w:p>
        </w:tc>
        <w:tc>
          <w:tcPr>
            <w:tcW w:type="dxa" w:w="3249"/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What you see</w:t>
            </w:r>
          </w:p>
        </w:tc>
      </w:tr>
      <w:tr>
        <w:trPr>
          <w:tblHeader w:val="false"/>
        </w:trPr>
        <w:tc>
          <w:tcPr>
            <w:tcW w:type="dxa" w:w="324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manager@playlive.melbourne</w:t>
            </w:r>
          </w:p>
        </w:tc>
        <w:tc>
          <w:tcPr>
            <w:tcW w:type="dxa" w:w="324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Manager</w:t>
            </w:r>
          </w:p>
        </w:tc>
        <w:tc>
          <w:tcPr>
            <w:tcW w:type="dxa" w:w="324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Everything</w:t>
            </w:r>
          </w:p>
        </w:tc>
      </w:tr>
      <w:tr>
        <w:trPr>
          <w:tblHeader w:val="false"/>
        </w:trPr>
        <w:tc>
          <w:tcPr>
            <w:tcW w:type="dxa" w:w="324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td@playlive.melbourne</w:t>
            </w:r>
          </w:p>
        </w:tc>
        <w:tc>
          <w:tcPr>
            <w:tcW w:type="dxa" w:w="324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Tournament Director</w:t>
            </w:r>
          </w:p>
        </w:tc>
        <w:tc>
          <w:tcPr>
            <w:tcW w:type="dxa" w:w="324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Floor tools: clock, tables, seating</w:t>
            </w:r>
          </w:p>
        </w:tc>
      </w:tr>
      <w:tr>
        <w:trPr>
          <w:tblHeader w:val="false"/>
        </w:trPr>
        <w:tc>
          <w:tcPr>
            <w:tcW w:type="dxa" w:w="324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cashier@playlive.melbourne</w:t>
            </w:r>
          </w:p>
        </w:tc>
        <w:tc>
          <w:tcPr>
            <w:tcW w:type="dxa" w:w="324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Cashier / Desk</w:t>
            </w:r>
          </w:p>
        </w:tc>
        <w:tc>
          <w:tcPr>
            <w:tcW w:type="dxa" w:w="324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Players, registration, deposits</w:t>
            </w:r>
          </w:p>
        </w:tc>
      </w:tr>
      <w:tr>
        <w:trPr>
          <w:tblHeader w:val="false"/>
        </w:trPr>
        <w:tc>
          <w:tcPr>
            <w:tcW w:type="dxa" w:w="324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readonly@playlive.melbourne</w:t>
            </w:r>
          </w:p>
        </w:tc>
        <w:tc>
          <w:tcPr>
            <w:tcW w:type="dxa" w:w="324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Read-only</w:t>
            </w:r>
          </w:p>
        </w:tc>
        <w:tc>
          <w:tcPr>
            <w:tcW w:type="dxa" w:w="324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View everything, change nothing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/>
          <w:bCs/>
        </w:rPr>
        <w:t xml:space="preserve">Passwords:</w:t>
      </w:r>
      <w:r>
        <w:t xml:space="preserve"> distributed separately by Guy — they are deliberately not written in this document.</w:t>
      </w:r>
    </w:p>
    <w:p>
      <w:pPr>
        <w:pStyle w:val="Heading3"/>
        <w:spacing w:after="120" w:before="240"/>
      </w:pPr>
      <w:r>
        <w:t xml:space="preserve">Two ground rules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This is a live shared database.</w:t>
      </w:r>
      <w:r>
        <w:t xml:space="preserve"> Anything you create should be obviously fake — prefix tournament and player names with </w:t>
      </w:r>
      <w:r>
        <w:rPr>
          <w:b/>
          <w:bCs/>
        </w:rPr>
        <w:t xml:space="preserve">ZZTEST</w:t>
      </w:r>
      <w:r>
        <w:t xml:space="preserve">. It all gets cleaned up before real use.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No real money moves, ever.</w:t>
      </w:r>
      <w:r>
        <w:t xml:space="preserve"> The wallet records that money changed hands at the till / EFTPOS terminal / via PayID — the app never touches the money itself. Feel free to record deposits and buy-ins freely.</w:t>
      </w:r>
    </w:p>
    <w:p>
      <w:pPr>
        <w:pStyle w:val="Heading2"/>
        <w:spacing w:after="120" w:before="240"/>
      </w:pPr>
      <w:r>
        <w:t xml:space="preserve">What's in this package</w:t>
      </w:r>
    </w:p>
    <w:tbl>
      <w:tblPr>
        <w:tblW w:type="dxa" w:w="9746"/>
        <w:tblBorders>
          <w:top w:val="single" w:color="C9C9C9" w:sz="4"/>
          <w:left w:val="single" w:color="C9C9C9" w:sz="4"/>
          <w:bottom w:val="single" w:color="C9C9C9" w:sz="4"/>
          <w:right w:val="single" w:color="C9C9C9" w:sz="4"/>
          <w:insideH w:val="single" w:color="C9C9C9" w:sz="4"/>
          <w:insideV w:val="single" w:color="C9C9C9" w:sz="4"/>
        </w:tblBorders>
      </w:tblPr>
      <w:tblGrid>
        <w:gridCol w:w="4873"/>
        <w:gridCol w:w="4873"/>
      </w:tblGrid>
      <w:tr>
        <w:trPr>
          <w:tblHeader/>
        </w:trPr>
        <w:tc>
          <w:tcPr>
            <w:tcW w:type="dxa" w:w="4873"/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Document</w:t>
            </w:r>
          </w:p>
        </w:tc>
        <w:tc>
          <w:tcPr>
            <w:tcW w:type="dxa" w:w="4873"/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What it is</w:t>
            </w:r>
          </w:p>
        </w:tc>
      </w:tr>
      <w:tr>
        <w:trPr>
          <w:tblHeader w:val="false"/>
        </w:trPr>
        <w:tc>
          <w:tcPr>
            <w:tcW w:type="dxa" w:w="487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README</w:t>
            </w:r>
            <w:r>
              <w:t xml:space="preserve"> (this document)</w:t>
            </w:r>
          </w:p>
        </w:tc>
        <w:tc>
          <w:tcPr>
            <w:tcW w:type="dxa" w:w="487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Access instructions and orientation</w:t>
            </w:r>
          </w:p>
        </w:tc>
      </w:tr>
      <w:tr>
        <w:trPr>
          <w:tblHeader w:val="false"/>
        </w:trPr>
        <w:tc>
          <w:tcPr>
            <w:tcW w:type="dxa" w:w="487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Progress Log</w:t>
            </w:r>
          </w:p>
        </w:tc>
        <w:tc>
          <w:tcPr>
            <w:tcW w:type="dxa" w:w="487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Day-by-day record of what has been built, in plain language</w:t>
            </w:r>
          </w:p>
        </w:tc>
      </w:tr>
      <w:tr>
        <w:trPr>
          <w:tblHeader w:val="false"/>
        </w:trPr>
        <w:tc>
          <w:tcPr>
            <w:tcW w:type="dxa" w:w="487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Action Plan — Status</w:t>
            </w:r>
          </w:p>
        </w:tc>
        <w:tc>
          <w:tcPr>
            <w:tcW w:type="dxa" w:w="487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Every planned task marked done / in progress / pending</w:t>
            </w:r>
          </w:p>
        </w:tc>
      </w:tr>
      <w:tr>
        <w:trPr>
          <w:tblHeader w:val="false"/>
        </w:trPr>
        <w:tc>
          <w:tcPr>
            <w:tcW w:type="dxa" w:w="487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Staging Test Script</w:t>
            </w:r>
          </w:p>
        </w:tc>
        <w:tc>
          <w:tcPr>
            <w:tcW w:type="dxa" w:w="487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Step-by-step "what to try" per role — start here if you're testing</w:t>
            </w:r>
          </w:p>
        </w:tc>
      </w:tr>
      <w:tr>
        <w:trPr>
          <w:tblHeader w:val="false"/>
        </w:trPr>
        <w:tc>
          <w:tcPr>
            <w:tcW w:type="dxa" w:w="487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Known Gaps</w:t>
            </w:r>
          </w:p>
        </w:tc>
        <w:tc>
          <w:tcPr>
            <w:tcW w:type="dxa" w:w="487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What's intentionally not built yet, so it isn't reported as broken</w:t>
            </w:r>
          </w:p>
        </w:tc>
      </w:tr>
      <w:tr>
        <w:trPr>
          <w:tblHeader w:val="false"/>
        </w:trPr>
        <w:tc>
          <w:tcPr>
            <w:tcW w:type="dxa" w:w="487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Scope of Work</w:t>
            </w:r>
          </w:p>
        </w:tc>
        <w:tc>
          <w:tcPr>
            <w:tcW w:type="dxa" w:w="487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The original project scope document</w:t>
            </w:r>
          </w:p>
        </w:tc>
      </w:tr>
      <w:tr>
        <w:trPr>
          <w:tblHeader w:val="false"/>
        </w:trPr>
        <w:tc>
          <w:tcPr>
            <w:tcW w:type="dxa" w:w="487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Timeline</w:t>
            </w:r>
          </w:p>
        </w:tc>
        <w:tc>
          <w:tcPr>
            <w:tcW w:type="dxa" w:w="487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The original 12-week build plan + rollout outline</w:t>
            </w:r>
          </w:p>
        </w:tc>
      </w:tr>
    </w:tbl>
    <w:p>
      <w:pPr>
        <w:spacing w:after="80"/>
      </w:pPr>
    </w:p>
    <w:p>
      <w:pPr>
        <w:pStyle w:val="Heading2"/>
        <w:spacing w:after="120" w:before="240"/>
      </w:pPr>
      <w:r>
        <w:t xml:space="preserve">How to give feedback</w:t>
      </w:r>
    </w:p>
    <w:p>
      <w:pPr>
        <w:spacing w:after="120"/>
      </w:pPr>
      <w:r>
        <w:t xml:space="preserve">Anything that made you pause, reread, mis-tap, or ask "why?" — write it down, however small it feels. Format: </w:t>
      </w:r>
      <w:r>
        <w:rPr>
          <w:b/>
          <w:bCs/>
        </w:rPr>
        <w:t xml:space="preserve">where you were → what you did → what you expected → what happened.</w:t>
      </w:r>
      <w:r>
        <w:t xml:space="preserve"> Screenshots welcome. Send everything to Guy. Feedback is triaged into a prioritized list and worked through, the same process used for the floor-team feedback round in July (all six quick-win items from that round shipped within the week).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◦"/>
      <w:lvlJc w:val="left"/>
      <w:pPr>
        <w:ind w:left="100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line="264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0"/>
    </w:pPr>
    <w:rPr>
      <w:rFonts w:ascii="Calibri" w:cs="Calibri" w:eastAsia="Calibri" w:hAnsi="Calibri"/>
      <w:b/>
      <w:bCs/>
      <w:color w:val="111111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80"/>
    </w:pPr>
    <w:rPr>
      <w:rFonts w:ascii="Calibri" w:cs="Calibri" w:eastAsia="Calibri" w:hAnsi="Calibri"/>
      <w:b/>
      <w:bCs/>
      <w:color w:val="B91C1C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80" w:before="200"/>
    </w:pPr>
    <w:rPr>
      <w:rFonts w:ascii="Calibri" w:cs="Calibri" w:eastAsia="Calibri" w:hAnsi="Calibri"/>
      <w:b/>
      <w:bCs/>
      <w:color w:val="333333"/>
      <w:sz w:val="23"/>
      <w:szCs w:val="23"/>
    </w:rPr>
  </w:style>
  <w:style w:type="paragraph" w:styleId="Heading4">
    <w:name w:val="Heading 4"/>
    <w:basedOn w:val="Normal"/>
    <w:next w:val="Normal"/>
    <w:qFormat/>
    <w:rPr>
      <w:rFonts w:ascii="Calibri" w:cs="Calibri" w:eastAsia="Calibri" w:hAnsi="Calibri"/>
      <w:b/>
      <w:bCs/>
      <w:color w:val="555555"/>
      <w:sz w:val="21"/>
      <w:szCs w:val="21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PlayLive Floor App - Stakeholder Package</dc:title>
  <dc:creator>Un-named</dc:creator>
  <cp:lastModifiedBy>Un-named</cp:lastModifiedBy>
  <cp:revision>1</cp:revision>
  <dcterms:created xsi:type="dcterms:W3CDTF">2026-08-10T16:43:36.483Z</dcterms:created>
  <dcterms:modified xsi:type="dcterms:W3CDTF">2026-08-10T16:43:36.484Z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