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9BBB59" w:themeFill="accent3"/>
        <w:tblLook w:val="04A0" w:firstRow="1" w:lastRow="0" w:firstColumn="1" w:lastColumn="0" w:noHBand="0" w:noVBand="1"/>
      </w:tblPr>
      <w:tblGrid>
        <w:gridCol w:w="10206"/>
      </w:tblGrid>
      <w:tr w:rsidR="004D2896" w14:paraId="06E06741" w14:textId="77777777" w:rsidTr="00AB1454">
        <w:trPr>
          <w:jc w:val="center"/>
        </w:trPr>
        <w:tc>
          <w:tcPr>
            <w:tcW w:w="10206" w:type="dxa"/>
            <w:shd w:val="clear" w:color="auto" w:fill="9BBB59" w:themeFill="accent3"/>
          </w:tcPr>
          <w:p w14:paraId="217FAF2F" w14:textId="4528D39A" w:rsidR="004D2896" w:rsidRPr="00AB1454" w:rsidRDefault="00000000" w:rsidP="00AB1454">
            <w:pPr>
              <w:spacing w:before="160" w:after="80"/>
              <w:jc w:val="center"/>
              <w:rPr>
                <w:color w:val="FFFFFF" w:themeColor="background1"/>
              </w:rPr>
            </w:pPr>
            <w:proofErr w:type="spellStart"/>
            <w:r w:rsidRPr="00AB1454">
              <w:rPr>
                <w:rFonts w:ascii="Calibri" w:hAnsi="Calibri"/>
                <w:b/>
                <w:color w:val="FFFFFF" w:themeColor="background1"/>
                <w:sz w:val="60"/>
              </w:rPr>
              <w:t>GreenSys</w:t>
            </w:r>
            <w:proofErr w:type="spellEnd"/>
            <w:r w:rsidRPr="00AB1454">
              <w:rPr>
                <w:rFonts w:ascii="Calibri" w:hAnsi="Calibri"/>
                <w:b/>
                <w:color w:val="FFFFFF" w:themeColor="background1"/>
                <w:sz w:val="60"/>
              </w:rPr>
              <w:t xml:space="preserve"> 2026</w:t>
            </w:r>
            <w:r w:rsidR="00AB1454">
              <w:rPr>
                <w:noProof/>
              </w:rPr>
              <w:drawing>
                <wp:inline distT="0" distB="0" distL="0" distR="0" wp14:anchorId="4A4A96A8" wp14:editId="0EDB107A">
                  <wp:extent cx="884698" cy="884698"/>
                  <wp:effectExtent l="0" t="0" r="4445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037" cy="88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0725F" w14:textId="3EA86232" w:rsidR="004D2896" w:rsidRDefault="00000000" w:rsidP="00AB1454">
            <w:pPr>
              <w:spacing w:after="160"/>
              <w:jc w:val="center"/>
            </w:pPr>
            <w:r w:rsidRPr="00AB1454">
              <w:rPr>
                <w:rFonts w:ascii="Calibri" w:hAnsi="Calibri"/>
                <w:b/>
                <w:color w:val="FFFFFF" w:themeColor="background1"/>
                <w:sz w:val="44"/>
              </w:rPr>
              <w:t>Keynote Speakers</w:t>
            </w:r>
          </w:p>
        </w:tc>
      </w:tr>
    </w:tbl>
    <w:p w14:paraId="69E5D9B0" w14:textId="66E37194" w:rsidR="004D2896" w:rsidRDefault="00000000">
      <w:pPr>
        <w:spacing w:before="100" w:after="120"/>
        <w:jc w:val="center"/>
      </w:pPr>
      <w:r>
        <w:rPr>
          <w:rFonts w:ascii="Calibri" w:hAnsi="Calibri"/>
          <w:color w:val="444444"/>
          <w:sz w:val="20"/>
        </w:rPr>
        <w:t xml:space="preserve">Monday, 27 April </w:t>
      </w:r>
      <w:r w:rsidR="00AB1454">
        <w:rPr>
          <w:rFonts w:ascii="Calibri" w:hAnsi="Calibri"/>
          <w:color w:val="444444"/>
          <w:sz w:val="20"/>
        </w:rPr>
        <w:t xml:space="preserve">2026 </w:t>
      </w:r>
      <w:proofErr w:type="gramStart"/>
      <w:r w:rsidR="00AB1454">
        <w:rPr>
          <w:rFonts w:ascii="Calibri" w:hAnsi="Calibri"/>
          <w:color w:val="444444"/>
          <w:sz w:val="20"/>
        </w:rPr>
        <w:t>·</w:t>
      </w:r>
      <w:r>
        <w:rPr>
          <w:rFonts w:ascii="Calibri" w:hAnsi="Calibri"/>
          <w:color w:val="444444"/>
          <w:sz w:val="20"/>
        </w:rPr>
        <w:t xml:space="preserve">  Edinburgh</w:t>
      </w:r>
      <w:proofErr w:type="gramEnd"/>
      <w:r>
        <w:rPr>
          <w:rFonts w:ascii="Calibri" w:hAnsi="Calibri"/>
          <w:color w:val="444444"/>
          <w:sz w:val="20"/>
        </w:rPr>
        <w:t xml:space="preserve">, </w:t>
      </w:r>
      <w:r w:rsidR="00AB1454">
        <w:rPr>
          <w:rFonts w:ascii="Calibri" w:hAnsi="Calibri"/>
          <w:color w:val="444444"/>
          <w:sz w:val="20"/>
        </w:rPr>
        <w:t xml:space="preserve">UK </w:t>
      </w:r>
      <w:proofErr w:type="gramStart"/>
      <w:r w:rsidR="00AB1454">
        <w:rPr>
          <w:rFonts w:ascii="Calibri" w:hAnsi="Calibri"/>
          <w:color w:val="444444"/>
          <w:sz w:val="20"/>
        </w:rPr>
        <w:t>·</w:t>
      </w:r>
      <w:r>
        <w:rPr>
          <w:rFonts w:ascii="Calibri" w:hAnsi="Calibri"/>
          <w:color w:val="444444"/>
          <w:sz w:val="20"/>
        </w:rPr>
        <w:t xml:space="preserve">  Co</w:t>
      </w:r>
      <w:proofErr w:type="gramEnd"/>
      <w:r>
        <w:rPr>
          <w:rFonts w:ascii="Calibri" w:hAnsi="Calibri"/>
          <w:color w:val="444444"/>
          <w:sz w:val="20"/>
        </w:rPr>
        <w:t xml:space="preserve">-located with </w:t>
      </w:r>
      <w:proofErr w:type="spellStart"/>
      <w:r>
        <w:rPr>
          <w:rFonts w:ascii="Calibri" w:hAnsi="Calibri"/>
          <w:color w:val="444444"/>
          <w:sz w:val="20"/>
        </w:rPr>
        <w:t>EuroSys</w:t>
      </w:r>
      <w:proofErr w:type="spellEnd"/>
      <w:r>
        <w:rPr>
          <w:rFonts w:ascii="Calibri" w:hAnsi="Calibri"/>
          <w:color w:val="444444"/>
          <w:sz w:val="20"/>
        </w:rPr>
        <w:t xml:space="preserve">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1"/>
      </w:tblGrid>
      <w:tr w:rsidR="004D2896" w14:paraId="1593BD86" w14:textId="77777777">
        <w:trPr>
          <w:jc w:val="center"/>
        </w:trPr>
        <w:tc>
          <w:tcPr>
            <w:tcW w:w="49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EEF4F8"/>
          </w:tcPr>
          <w:p w14:paraId="31DD342B" w14:textId="77777777" w:rsidR="004D2896" w:rsidRDefault="00000000">
            <w:pPr>
              <w:spacing w:before="200" w:after="80"/>
              <w:jc w:val="center"/>
            </w:pPr>
            <w:r>
              <w:rPr>
                <w:noProof/>
              </w:rPr>
              <w:drawing>
                <wp:inline distT="0" distB="0" distL="0" distR="0" wp14:anchorId="4772BE21" wp14:editId="00AF2730">
                  <wp:extent cx="1280160" cy="1280160"/>
                  <wp:effectExtent l="50800" t="50800" r="53340" b="8026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ellipse">
                            <a:avLst/>
                          </a:prstGeom>
                          <a:ln w="254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E27196F" w14:textId="77777777" w:rsidR="004D2896" w:rsidRDefault="00000000"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1F5C8B"/>
                <w:sz w:val="26"/>
              </w:rPr>
              <w:t>Loic Lannelongue</w:t>
            </w:r>
          </w:p>
          <w:p w14:paraId="0D077990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444444"/>
                <w:sz w:val="18"/>
              </w:rPr>
              <w:t>University of Cambridge, UK</w:t>
            </w:r>
          </w:p>
          <w:p w14:paraId="72CF52AA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color w:val="D96B1F"/>
                <w:sz w:val="20"/>
              </w:rPr>
              <w:t>“Un/sustainable computing: what can we do about it?”</w:t>
            </w:r>
          </w:p>
          <w:p w14:paraId="16A33D4B" w14:textId="77777777" w:rsidR="004D2896" w:rsidRDefault="00000000">
            <w:pPr>
              <w:spacing w:after="200"/>
              <w:jc w:val="center"/>
            </w:pPr>
            <w:r>
              <w:rPr>
                <w:rFonts w:ascii="Calibri" w:hAnsi="Calibri"/>
                <w:b/>
                <w:color w:val="2E74B5"/>
              </w:rPr>
              <w:t>⏰  09:15 – 10:00</w:t>
            </w:r>
          </w:p>
        </w:tc>
        <w:tc>
          <w:tcPr>
            <w:tcW w:w="49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4EEF8"/>
          </w:tcPr>
          <w:p w14:paraId="0F73318D" w14:textId="77777777" w:rsidR="004D2896" w:rsidRDefault="00000000">
            <w:pPr>
              <w:spacing w:before="200" w:after="80"/>
              <w:jc w:val="center"/>
            </w:pPr>
            <w:r>
              <w:rPr>
                <w:noProof/>
              </w:rPr>
              <w:drawing>
                <wp:inline distT="0" distB="0" distL="0" distR="0" wp14:anchorId="25BB0858" wp14:editId="3095631F">
                  <wp:extent cx="1280160" cy="1280160"/>
                  <wp:effectExtent l="50800" t="50800" r="53340" b="8026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ellipse">
                            <a:avLst/>
                          </a:prstGeom>
                          <a:ln w="254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140B6C1" w14:textId="77777777" w:rsidR="004D2896" w:rsidRDefault="00000000"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1F5C8B"/>
                <w:sz w:val="26"/>
              </w:rPr>
              <w:t>Pierre Jacquet</w:t>
            </w:r>
          </w:p>
          <w:p w14:paraId="3AAFDD5C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444444"/>
                <w:sz w:val="18"/>
              </w:rPr>
              <w:t>Université du Québec (ETS Montréal) and OVHcloud</w:t>
            </w:r>
          </w:p>
          <w:p w14:paraId="07CBE4B2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color w:val="D96B1F"/>
                <w:sz w:val="20"/>
              </w:rPr>
              <w:t>“Monitoring GPUs in Cloud Platforms: Challenges and Opportunities for Orchestration”</w:t>
            </w:r>
          </w:p>
          <w:p w14:paraId="34114513" w14:textId="77777777" w:rsidR="004D2896" w:rsidRDefault="00000000">
            <w:pPr>
              <w:spacing w:after="200"/>
              <w:jc w:val="center"/>
            </w:pPr>
            <w:r>
              <w:rPr>
                <w:rFonts w:ascii="Calibri" w:hAnsi="Calibri"/>
                <w:b/>
                <w:color w:val="2E74B5"/>
              </w:rPr>
              <w:t>⏰  11:00 – 11:45</w:t>
            </w:r>
          </w:p>
        </w:tc>
      </w:tr>
      <w:tr w:rsidR="004D2896" w14:paraId="0B673A7B" w14:textId="77777777">
        <w:trPr>
          <w:jc w:val="center"/>
        </w:trPr>
        <w:tc>
          <w:tcPr>
            <w:tcW w:w="49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EEF8F0"/>
          </w:tcPr>
          <w:p w14:paraId="5FDA8C6D" w14:textId="77777777" w:rsidR="004D2896" w:rsidRDefault="00000000">
            <w:pPr>
              <w:spacing w:before="200" w:after="80"/>
              <w:jc w:val="center"/>
            </w:pPr>
            <w:r>
              <w:rPr>
                <w:noProof/>
              </w:rPr>
              <w:drawing>
                <wp:inline distT="0" distB="0" distL="0" distR="0" wp14:anchorId="7CE3AD70" wp14:editId="5AB91B61">
                  <wp:extent cx="1154112" cy="1280160"/>
                  <wp:effectExtent l="101600" t="50800" r="78105" b="8026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9"/>
                          <a:srcRect l="7298" r="2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112" cy="1280160"/>
                          </a:xfrm>
                          <a:prstGeom prst="ellipse">
                            <a:avLst/>
                          </a:prstGeom>
                          <a:ln w="25400" cap="rnd" cmpd="sng" algn="ctr">
                            <a:solidFill>
                              <a:srgbClr val="333333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4A2E20" w14:textId="77777777" w:rsidR="004D2896" w:rsidRDefault="00000000"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1F5C8B"/>
                <w:sz w:val="26"/>
              </w:rPr>
              <w:t>Edoardo M. Ponti</w:t>
            </w:r>
          </w:p>
          <w:p w14:paraId="5ED87D7B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444444"/>
                <w:sz w:val="18"/>
              </w:rPr>
              <w:t>University of Edinburgh, UK</w:t>
            </w:r>
          </w:p>
          <w:p w14:paraId="3252BB31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color w:val="D96B1F"/>
                <w:sz w:val="20"/>
              </w:rPr>
              <w:t>“Adaptive Foundation Models for Efficient and Long-Horizon AI”</w:t>
            </w:r>
          </w:p>
          <w:p w14:paraId="2AE402AC" w14:textId="77777777" w:rsidR="004D2896" w:rsidRDefault="00000000">
            <w:pPr>
              <w:spacing w:after="200"/>
              <w:jc w:val="center"/>
            </w:pPr>
            <w:r>
              <w:rPr>
                <w:rFonts w:ascii="Calibri" w:hAnsi="Calibri"/>
                <w:b/>
                <w:color w:val="2E74B5"/>
              </w:rPr>
              <w:t>⏰  14:00 – 14:50</w:t>
            </w:r>
          </w:p>
        </w:tc>
        <w:tc>
          <w:tcPr>
            <w:tcW w:w="496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8F4EE"/>
          </w:tcPr>
          <w:p w14:paraId="084738FC" w14:textId="77777777" w:rsidR="004D2896" w:rsidRDefault="00000000">
            <w:pPr>
              <w:spacing w:before="200" w:after="80"/>
              <w:jc w:val="center"/>
            </w:pPr>
            <w:r>
              <w:rPr>
                <w:noProof/>
              </w:rPr>
              <w:drawing>
                <wp:inline distT="0" distB="0" distL="0" distR="0" wp14:anchorId="18D07DB7" wp14:editId="6C7C7778">
                  <wp:extent cx="1280160" cy="1280160"/>
                  <wp:effectExtent l="50800" t="50800" r="53340" b="8026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1280160"/>
                          </a:xfrm>
                          <a:prstGeom prst="ellipse">
                            <a:avLst/>
                          </a:prstGeom>
                          <a:ln w="25400" cap="rnd" cmpd="sng" algn="ctr">
                            <a:solidFill>
                              <a:srgbClr val="333333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61CD60" w14:textId="77777777" w:rsidR="004D2896" w:rsidRDefault="00000000"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1F5C8B"/>
                <w:sz w:val="26"/>
              </w:rPr>
              <w:t>Maximilian Boether</w:t>
            </w:r>
          </w:p>
          <w:p w14:paraId="5610ADB2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i/>
                <w:color w:val="444444"/>
                <w:sz w:val="18"/>
              </w:rPr>
              <w:t>ETH Zurich and DatologyAI</w:t>
            </w:r>
          </w:p>
          <w:p w14:paraId="58E46CFD" w14:textId="77777777" w:rsidR="004D2896" w:rsidRDefault="00000000">
            <w:pPr>
              <w:spacing w:after="120"/>
              <w:jc w:val="center"/>
            </w:pPr>
            <w:r>
              <w:rPr>
                <w:rFonts w:ascii="Calibri" w:hAnsi="Calibri"/>
                <w:color w:val="D96B1F"/>
                <w:sz w:val="20"/>
              </w:rPr>
              <w:t>“Efficient Data Mixing and Loading for Foundation Model Training”</w:t>
            </w:r>
          </w:p>
          <w:p w14:paraId="4E361242" w14:textId="372B5BBA" w:rsidR="004D2896" w:rsidRDefault="00000000">
            <w:pPr>
              <w:spacing w:after="200"/>
              <w:jc w:val="center"/>
            </w:pPr>
            <w:r>
              <w:rPr>
                <w:rFonts w:ascii="Calibri" w:hAnsi="Calibri"/>
                <w:b/>
                <w:color w:val="2E74B5"/>
              </w:rPr>
              <w:t>⏰  1</w:t>
            </w:r>
            <w:r w:rsidR="00AB1454">
              <w:rPr>
                <w:rFonts w:ascii="Calibri" w:hAnsi="Calibri"/>
                <w:b/>
                <w:color w:val="2E74B5"/>
              </w:rPr>
              <w:t>6</w:t>
            </w:r>
            <w:r>
              <w:rPr>
                <w:rFonts w:ascii="Calibri" w:hAnsi="Calibri"/>
                <w:b/>
                <w:color w:val="2E74B5"/>
              </w:rPr>
              <w:t>:</w:t>
            </w:r>
            <w:r w:rsidR="00AB1454">
              <w:rPr>
                <w:rFonts w:ascii="Calibri" w:hAnsi="Calibri"/>
                <w:b/>
                <w:color w:val="2E74B5"/>
              </w:rPr>
              <w:t>00</w:t>
            </w:r>
            <w:r>
              <w:rPr>
                <w:rFonts w:ascii="Calibri" w:hAnsi="Calibri"/>
                <w:b/>
                <w:color w:val="2E74B5"/>
              </w:rPr>
              <w:t xml:space="preserve"> – 16:</w:t>
            </w:r>
            <w:r w:rsidR="00AB1454">
              <w:rPr>
                <w:rFonts w:ascii="Calibri" w:hAnsi="Calibri"/>
                <w:b/>
                <w:color w:val="2E74B5"/>
              </w:rPr>
              <w:t>45</w:t>
            </w:r>
          </w:p>
        </w:tc>
      </w:tr>
    </w:tbl>
    <w:p w14:paraId="123B459F" w14:textId="6DA4FB75" w:rsidR="004D2896" w:rsidRDefault="004D2896" w:rsidP="00AB1454">
      <w:pPr>
        <w:spacing w:after="80"/>
        <w:jc w:val="center"/>
      </w:pPr>
    </w:p>
    <w:sectPr w:rsidR="004D2896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291190">
    <w:abstractNumId w:val="8"/>
  </w:num>
  <w:num w:numId="2" w16cid:durableId="177473597">
    <w:abstractNumId w:val="6"/>
  </w:num>
  <w:num w:numId="3" w16cid:durableId="2060010964">
    <w:abstractNumId w:val="5"/>
  </w:num>
  <w:num w:numId="4" w16cid:durableId="1087387368">
    <w:abstractNumId w:val="4"/>
  </w:num>
  <w:num w:numId="5" w16cid:durableId="1429427805">
    <w:abstractNumId w:val="7"/>
  </w:num>
  <w:num w:numId="6" w16cid:durableId="731998350">
    <w:abstractNumId w:val="3"/>
  </w:num>
  <w:num w:numId="7" w16cid:durableId="1178692734">
    <w:abstractNumId w:val="2"/>
  </w:num>
  <w:num w:numId="8" w16cid:durableId="481852123">
    <w:abstractNumId w:val="1"/>
  </w:num>
  <w:num w:numId="9" w16cid:durableId="48439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896"/>
    <w:rsid w:val="00AA1D8D"/>
    <w:rsid w:val="00AB1454"/>
    <w:rsid w:val="00B47730"/>
    <w:rsid w:val="00CB0664"/>
    <w:rsid w:val="00DE0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E0E849"/>
  <w14:defaultImageDpi w14:val="300"/>
  <w15:docId w15:val="{2949B784-45C2-EF47-8BAB-6AFED46F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Shashikant Ilager</cp:lastModifiedBy>
  <cp:revision>2</cp:revision>
  <dcterms:created xsi:type="dcterms:W3CDTF">2013-12-23T23:15:00Z</dcterms:created>
  <dcterms:modified xsi:type="dcterms:W3CDTF">2026-04-24T12:02:00Z</dcterms:modified>
  <cp:category/>
</cp:coreProperties>
</file>