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70BA0" w14:textId="77777777" w:rsidR="0071127C" w:rsidRPr="007316D2" w:rsidRDefault="0071127C" w:rsidP="0071127C">
      <w:pPr>
        <w:jc w:val="center"/>
        <w:rPr>
          <w:rFonts w:ascii="Times New Roman" w:hAnsi="Times New Roman" w:cs="Times New Roman"/>
          <w:sz w:val="48"/>
        </w:rPr>
      </w:pPr>
      <w:r w:rsidRPr="007316D2">
        <w:rPr>
          <w:rFonts w:ascii="Times New Roman" w:hAnsi="Times New Roman" w:cs="Times New Roman"/>
          <w:sz w:val="48"/>
        </w:rPr>
        <w:t>Книжный магазин</w:t>
      </w:r>
    </w:p>
    <w:p w14:paraId="0735D12B" w14:textId="77777777" w:rsidR="0071127C" w:rsidRDefault="0071127C" w:rsidP="00711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Предметная область – Книжный магазин</w:t>
      </w:r>
    </w:p>
    <w:p w14:paraId="36A62282" w14:textId="77777777" w:rsidR="0071127C" w:rsidRDefault="0071127C" w:rsidP="00711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Бизнес-процесс – Продажа товаров покупателям</w:t>
      </w:r>
    </w:p>
    <w:p w14:paraId="1E869E6F" w14:textId="77777777" w:rsidR="0071127C" w:rsidRDefault="0071127C" w:rsidP="00711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области:</w:t>
      </w:r>
    </w:p>
    <w:p w14:paraId="2D78CD8F" w14:textId="77777777" w:rsidR="0071127C" w:rsidRDefault="0071127C" w:rsidP="0071127C">
      <w:pPr>
        <w:rPr>
          <w:rFonts w:ascii="Times New Roman" w:hAnsi="Times New Roman" w:cs="Times New Roman"/>
        </w:rPr>
      </w:pPr>
      <w:r w:rsidRPr="0030393B">
        <w:rPr>
          <w:rFonts w:ascii="Times New Roman" w:hAnsi="Times New Roman" w:cs="Times New Roman"/>
        </w:rPr>
        <w:t>В базе данных «</w:t>
      </w:r>
      <w:r>
        <w:rPr>
          <w:rFonts w:ascii="Times New Roman" w:hAnsi="Times New Roman" w:cs="Times New Roman"/>
        </w:rPr>
        <w:t>Книжные магазины</w:t>
      </w:r>
      <w:r w:rsidRPr="0030393B">
        <w:rPr>
          <w:rFonts w:ascii="Times New Roman" w:hAnsi="Times New Roman" w:cs="Times New Roman"/>
        </w:rPr>
        <w:t xml:space="preserve">» накапливается информация по реализации </w:t>
      </w:r>
      <w:r>
        <w:rPr>
          <w:rFonts w:ascii="Times New Roman" w:hAnsi="Times New Roman" w:cs="Times New Roman"/>
        </w:rPr>
        <w:t xml:space="preserve"> книг </w:t>
      </w:r>
      <w:r w:rsidRPr="0030393B">
        <w:rPr>
          <w:rFonts w:ascii="Times New Roman" w:hAnsi="Times New Roman" w:cs="Times New Roman"/>
        </w:rPr>
        <w:t>и других товаров через</w:t>
      </w:r>
      <w:r>
        <w:rPr>
          <w:rFonts w:ascii="Times New Roman" w:hAnsi="Times New Roman" w:cs="Times New Roman"/>
        </w:rPr>
        <w:t xml:space="preserve"> сеть книжных магазинов</w:t>
      </w:r>
      <w:r w:rsidRPr="0030393B">
        <w:rPr>
          <w:rFonts w:ascii="Times New Roman" w:hAnsi="Times New Roman" w:cs="Times New Roman"/>
        </w:rPr>
        <w:t>, состоящую из нескольких</w:t>
      </w:r>
      <w:r>
        <w:rPr>
          <w:rFonts w:ascii="Times New Roman" w:hAnsi="Times New Roman" w:cs="Times New Roman"/>
        </w:rPr>
        <w:t xml:space="preserve"> книжных магазинов</w:t>
      </w:r>
      <w:r w:rsidRPr="0030393B">
        <w:rPr>
          <w:rFonts w:ascii="Times New Roman" w:hAnsi="Times New Roman" w:cs="Times New Roman"/>
        </w:rPr>
        <w:t>, расположенных в нескольких</w:t>
      </w:r>
      <w:r>
        <w:rPr>
          <w:rFonts w:ascii="Times New Roman" w:hAnsi="Times New Roman" w:cs="Times New Roman"/>
        </w:rPr>
        <w:t xml:space="preserve"> </w:t>
      </w:r>
      <w:r w:rsidRPr="0030393B">
        <w:rPr>
          <w:rFonts w:ascii="Times New Roman" w:hAnsi="Times New Roman" w:cs="Times New Roman"/>
        </w:rPr>
        <w:t>городах</w:t>
      </w:r>
      <w:r>
        <w:rPr>
          <w:rFonts w:ascii="Times New Roman" w:hAnsi="Times New Roman" w:cs="Times New Roman"/>
        </w:rPr>
        <w:t xml:space="preserve"> России</w:t>
      </w:r>
      <w:r w:rsidRPr="0030393B">
        <w:rPr>
          <w:rFonts w:ascii="Times New Roman" w:hAnsi="Times New Roman" w:cs="Times New Roman"/>
        </w:rPr>
        <w:t>. Каждый товар имеет</w:t>
      </w:r>
      <w:r>
        <w:rPr>
          <w:rFonts w:ascii="Times New Roman" w:hAnsi="Times New Roman" w:cs="Times New Roman"/>
        </w:rPr>
        <w:t xml:space="preserve"> издательство (поставщика)</w:t>
      </w:r>
      <w:r w:rsidRPr="003039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0393B">
        <w:rPr>
          <w:rFonts w:ascii="Times New Roman" w:hAnsi="Times New Roman" w:cs="Times New Roman"/>
        </w:rPr>
        <w:t>текущую цену</w:t>
      </w:r>
      <w:r>
        <w:rPr>
          <w:rFonts w:ascii="Times New Roman" w:hAnsi="Times New Roman" w:cs="Times New Roman"/>
        </w:rPr>
        <w:t>, год выпуска и описание. Если товар – книга, то он дополнительно имеет автора и тематику.</w:t>
      </w:r>
      <w:r w:rsidRPr="0030393B">
        <w:rPr>
          <w:rFonts w:ascii="Times New Roman" w:hAnsi="Times New Roman" w:cs="Times New Roman"/>
        </w:rPr>
        <w:t xml:space="preserve"> В один чек может быть внесено несколько</w:t>
      </w:r>
      <w:r>
        <w:rPr>
          <w:rFonts w:ascii="Times New Roman" w:hAnsi="Times New Roman" w:cs="Times New Roman"/>
        </w:rPr>
        <w:t xml:space="preserve"> </w:t>
      </w:r>
      <w:r w:rsidRPr="0030393B">
        <w:rPr>
          <w:rFonts w:ascii="Times New Roman" w:hAnsi="Times New Roman" w:cs="Times New Roman"/>
        </w:rPr>
        <w:t>товаров. В зависимости от общей суммы покупки делается скидка по</w:t>
      </w:r>
      <w:r>
        <w:rPr>
          <w:rFonts w:ascii="Times New Roman" w:hAnsi="Times New Roman" w:cs="Times New Roman"/>
        </w:rPr>
        <w:t xml:space="preserve"> </w:t>
      </w:r>
      <w:r w:rsidRPr="0030393B">
        <w:rPr>
          <w:rFonts w:ascii="Times New Roman" w:hAnsi="Times New Roman" w:cs="Times New Roman"/>
        </w:rPr>
        <w:t xml:space="preserve">следующему правилу: от 1000 до </w:t>
      </w:r>
      <w:r>
        <w:rPr>
          <w:rFonts w:ascii="Times New Roman" w:hAnsi="Times New Roman" w:cs="Times New Roman"/>
        </w:rPr>
        <w:t>1999</w:t>
      </w:r>
      <w:r w:rsidRPr="0030393B">
        <w:rPr>
          <w:rFonts w:ascii="Times New Roman" w:hAnsi="Times New Roman" w:cs="Times New Roman"/>
        </w:rPr>
        <w:t xml:space="preserve"> р. – </w:t>
      </w:r>
      <w:r>
        <w:rPr>
          <w:rFonts w:ascii="Times New Roman" w:hAnsi="Times New Roman" w:cs="Times New Roman"/>
        </w:rPr>
        <w:t>10</w:t>
      </w:r>
      <w:r w:rsidRPr="0030393B">
        <w:rPr>
          <w:rFonts w:ascii="Times New Roman" w:hAnsi="Times New Roman" w:cs="Times New Roman"/>
        </w:rPr>
        <w:t xml:space="preserve">%, </w:t>
      </w:r>
      <w:r>
        <w:rPr>
          <w:rFonts w:ascii="Times New Roman" w:hAnsi="Times New Roman" w:cs="Times New Roman"/>
        </w:rPr>
        <w:t xml:space="preserve">от 2000 до 2999 – 15%, </w:t>
      </w:r>
      <w:r w:rsidRPr="0030393B">
        <w:rPr>
          <w:rFonts w:ascii="Times New Roman" w:hAnsi="Times New Roman" w:cs="Times New Roman"/>
        </w:rPr>
        <w:t xml:space="preserve">более </w:t>
      </w:r>
      <w:r>
        <w:rPr>
          <w:rFonts w:ascii="Times New Roman" w:hAnsi="Times New Roman" w:cs="Times New Roman"/>
        </w:rPr>
        <w:t>3</w:t>
      </w:r>
      <w:r w:rsidRPr="0030393B">
        <w:rPr>
          <w:rFonts w:ascii="Times New Roman" w:hAnsi="Times New Roman" w:cs="Times New Roman"/>
        </w:rPr>
        <w:t xml:space="preserve">000 р. – </w:t>
      </w:r>
      <w:r>
        <w:rPr>
          <w:rFonts w:ascii="Times New Roman" w:hAnsi="Times New Roman" w:cs="Times New Roman"/>
        </w:rPr>
        <w:t>20</w:t>
      </w:r>
      <w:r w:rsidRPr="0030393B">
        <w:rPr>
          <w:rFonts w:ascii="Times New Roman" w:hAnsi="Times New Roman" w:cs="Times New Roman"/>
        </w:rPr>
        <w:t>%.</w:t>
      </w:r>
    </w:p>
    <w:p w14:paraId="0E72BA7F" w14:textId="77777777" w:rsidR="0071127C" w:rsidRPr="003C0E6C" w:rsidRDefault="0071127C" w:rsidP="0071127C">
      <w:pPr>
        <w:rPr>
          <w:rFonts w:ascii="Times New Roman" w:hAnsi="Times New Roman" w:cs="Times New Roman"/>
        </w:rPr>
      </w:pPr>
      <w:r w:rsidRPr="003C0E6C">
        <w:rPr>
          <w:rFonts w:ascii="Times New Roman" w:hAnsi="Times New Roman" w:cs="Times New Roman"/>
        </w:rPr>
        <w:t>Для этой базы данных используется модель «Снежинка».</w:t>
      </w:r>
      <w:r>
        <w:rPr>
          <w:rFonts w:ascii="Times New Roman" w:hAnsi="Times New Roman" w:cs="Times New Roman"/>
        </w:rPr>
        <w:t xml:space="preserve"> </w:t>
      </w:r>
      <w:r w:rsidRPr="003C0E6C">
        <w:rPr>
          <w:rFonts w:ascii="Times New Roman" w:hAnsi="Times New Roman" w:cs="Times New Roman"/>
        </w:rPr>
        <w:t>Центральным набором объектов является</w:t>
      </w:r>
      <w:r>
        <w:rPr>
          <w:rFonts w:ascii="Times New Roman" w:hAnsi="Times New Roman" w:cs="Times New Roman"/>
        </w:rPr>
        <w:t xml:space="preserve"> </w:t>
      </w:r>
      <w:r w:rsidRPr="003C0E6C">
        <w:rPr>
          <w:rFonts w:ascii="Times New Roman" w:hAnsi="Times New Roman" w:cs="Times New Roman"/>
        </w:rPr>
        <w:t>«Продажа». Она представляет собой слабую сущность, которая зависит от</w:t>
      </w:r>
      <w:r>
        <w:rPr>
          <w:rFonts w:ascii="Times New Roman" w:hAnsi="Times New Roman" w:cs="Times New Roman"/>
        </w:rPr>
        <w:t xml:space="preserve"> </w:t>
      </w:r>
      <w:r w:rsidRPr="003C0E6C">
        <w:rPr>
          <w:rFonts w:ascii="Times New Roman" w:hAnsi="Times New Roman" w:cs="Times New Roman"/>
        </w:rPr>
        <w:t>сущностей  «Чек», «</w:t>
      </w:r>
      <w:r>
        <w:rPr>
          <w:rFonts w:ascii="Times New Roman" w:hAnsi="Times New Roman" w:cs="Times New Roman"/>
        </w:rPr>
        <w:t>Книга</w:t>
      </w:r>
      <w:r w:rsidRPr="003C0E6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</w:t>
      </w:r>
      <w:r w:rsidRPr="003C0E6C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Покупатель</w:t>
      </w:r>
      <w:r w:rsidRPr="003C0E6C">
        <w:rPr>
          <w:rFonts w:ascii="Times New Roman" w:hAnsi="Times New Roman" w:cs="Times New Roman"/>
        </w:rPr>
        <w:t>» и «</w:t>
      </w:r>
      <w:r>
        <w:rPr>
          <w:rFonts w:ascii="Times New Roman" w:hAnsi="Times New Roman" w:cs="Times New Roman"/>
        </w:rPr>
        <w:t>Продавец</w:t>
      </w:r>
      <w:r w:rsidRPr="003C0E6C">
        <w:rPr>
          <w:rFonts w:ascii="Times New Roman" w:hAnsi="Times New Roman" w:cs="Times New Roman"/>
        </w:rPr>
        <w:t>». В свою очередь, сущность</w:t>
      </w:r>
      <w:r>
        <w:rPr>
          <w:rFonts w:ascii="Times New Roman" w:hAnsi="Times New Roman" w:cs="Times New Roman"/>
        </w:rPr>
        <w:t xml:space="preserve"> </w:t>
      </w:r>
      <w:r w:rsidRPr="003C0E6C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Книга</w:t>
      </w:r>
      <w:r w:rsidRPr="003C0E6C">
        <w:rPr>
          <w:rFonts w:ascii="Times New Roman" w:hAnsi="Times New Roman" w:cs="Times New Roman"/>
        </w:rPr>
        <w:t>» ссылается на измерения «</w:t>
      </w:r>
      <w:r>
        <w:rPr>
          <w:rFonts w:ascii="Times New Roman" w:hAnsi="Times New Roman" w:cs="Times New Roman"/>
        </w:rPr>
        <w:t>Издательство</w:t>
      </w:r>
      <w:r w:rsidRPr="003C0E6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</w:t>
      </w:r>
      <w:r w:rsidRPr="003C0E6C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Автор</w:t>
      </w:r>
      <w:r w:rsidRPr="003C0E6C">
        <w:rPr>
          <w:rFonts w:ascii="Times New Roman" w:hAnsi="Times New Roman" w:cs="Times New Roman"/>
        </w:rPr>
        <w:t>» и «</w:t>
      </w:r>
      <w:r>
        <w:rPr>
          <w:rFonts w:ascii="Times New Roman" w:hAnsi="Times New Roman" w:cs="Times New Roman"/>
        </w:rPr>
        <w:t>Тематика</w:t>
      </w:r>
      <w:r w:rsidRPr="003C0E6C">
        <w:rPr>
          <w:rFonts w:ascii="Times New Roman" w:hAnsi="Times New Roman" w:cs="Times New Roman"/>
        </w:rPr>
        <w:t>», а</w:t>
      </w:r>
      <w:r>
        <w:rPr>
          <w:rFonts w:ascii="Times New Roman" w:hAnsi="Times New Roman" w:cs="Times New Roman"/>
        </w:rPr>
        <w:t xml:space="preserve"> </w:t>
      </w:r>
      <w:r w:rsidRPr="003C0E6C">
        <w:rPr>
          <w:rFonts w:ascii="Times New Roman" w:hAnsi="Times New Roman" w:cs="Times New Roman"/>
        </w:rPr>
        <w:t>сущность</w:t>
      </w:r>
      <w:r>
        <w:rPr>
          <w:rFonts w:ascii="Times New Roman" w:hAnsi="Times New Roman" w:cs="Times New Roman"/>
        </w:rPr>
        <w:t xml:space="preserve"> «Продавец» ссылается на сущность</w:t>
      </w:r>
      <w:r w:rsidRPr="003C0E6C">
        <w:rPr>
          <w:rFonts w:ascii="Times New Roman" w:hAnsi="Times New Roman" w:cs="Times New Roman"/>
        </w:rPr>
        <w:t xml:space="preserve"> «Отдел</w:t>
      </w:r>
      <w:r>
        <w:rPr>
          <w:rFonts w:ascii="Times New Roman" w:hAnsi="Times New Roman" w:cs="Times New Roman"/>
        </w:rPr>
        <w:t>ение</w:t>
      </w:r>
      <w:r w:rsidRPr="003C0E6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в котором он работает, а сущность </w:t>
      </w:r>
      <w:r w:rsidRPr="003C0E6C">
        <w:rPr>
          <w:rFonts w:ascii="Times New Roman" w:hAnsi="Times New Roman" w:cs="Times New Roman"/>
        </w:rPr>
        <w:t>«Отдел</w:t>
      </w:r>
      <w:r>
        <w:rPr>
          <w:rFonts w:ascii="Times New Roman" w:hAnsi="Times New Roman" w:cs="Times New Roman"/>
        </w:rPr>
        <w:t>ение</w:t>
      </w:r>
      <w:r w:rsidRPr="003C0E6C">
        <w:rPr>
          <w:rFonts w:ascii="Times New Roman" w:hAnsi="Times New Roman" w:cs="Times New Roman"/>
        </w:rPr>
        <w:t>» ссылается на сущность «</w:t>
      </w:r>
      <w:r>
        <w:rPr>
          <w:rFonts w:ascii="Times New Roman" w:hAnsi="Times New Roman" w:cs="Times New Roman"/>
        </w:rPr>
        <w:t>Книжный</w:t>
      </w:r>
      <w:r w:rsidRPr="003C0E6C">
        <w:rPr>
          <w:rFonts w:ascii="Times New Roman" w:hAnsi="Times New Roman" w:cs="Times New Roman"/>
        </w:rPr>
        <w:t>».</w:t>
      </w:r>
    </w:p>
    <w:p w14:paraId="626961EB" w14:textId="77777777" w:rsidR="0071127C" w:rsidRDefault="0071127C" w:rsidP="00711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Связь между сущностями «Автор» и «Книга» многие-ко-многим, поскольку у каждой книги может быть два и более авторов, и, очевидно, что у каждого автора обычно более одной книги. Такая же ситуация с сущностями «Тематика» и «Книга»</w:t>
      </w:r>
    </w:p>
    <w:p w14:paraId="7FDE4EA8" w14:textId="77777777" w:rsidR="0071127C" w:rsidRDefault="0071127C" w:rsidP="00711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Диаграмма:</w:t>
      </w:r>
    </w:p>
    <w:p w14:paraId="0E7C7E84" w14:textId="77777777" w:rsidR="0071127C" w:rsidRDefault="0071127C" w:rsidP="0071127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0E4E9D" wp14:editId="14EAD3E0">
            <wp:extent cx="5940425" cy="244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E7F1" w14:textId="77777777" w:rsidR="00691E9A" w:rsidRDefault="00691E9A">
      <w:bookmarkStart w:id="0" w:name="_GoBack"/>
      <w:bookmarkEnd w:id="0"/>
    </w:p>
    <w:sectPr w:rsidR="00691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FB"/>
    <w:rsid w:val="003D5407"/>
    <w:rsid w:val="00691E9A"/>
    <w:rsid w:val="0071127C"/>
    <w:rsid w:val="00B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83061-D6B6-484B-9899-06B925B4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27C"/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D540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5407"/>
    <w:rPr>
      <w:rFonts w:ascii="Times New Roman" w:eastAsiaTheme="majorEastAsia" w:hAnsi="Times New Roman" w:cstheme="majorBidi"/>
      <w:b/>
      <w:color w:val="000000" w:themeColor="text1"/>
      <w:kern w:val="2"/>
      <w:sz w:val="28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Александра Евгеньевна</dc:creator>
  <cp:keywords/>
  <dc:description/>
  <cp:lastModifiedBy>Зайцева Александра Евгеньевна</cp:lastModifiedBy>
  <cp:revision>2</cp:revision>
  <dcterms:created xsi:type="dcterms:W3CDTF">2023-11-11T18:52:00Z</dcterms:created>
  <dcterms:modified xsi:type="dcterms:W3CDTF">2023-11-11T18:52:00Z</dcterms:modified>
</cp:coreProperties>
</file>