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color w:val="1F3864"/>
          <w:sz w:val="32"/>
        </w:rPr>
        <w:t>Guinea GCF Readiness — Response Package to Junghwan</w:t>
      </w:r>
    </w:p>
    <w:p>
      <w:pPr>
        <w:spacing w:after="80"/>
      </w:pPr>
      <w:r>
        <w:rPr>
          <w:b w:val="0"/>
          <w:i/>
          <w:color w:val="555555"/>
          <w:sz w:val="22"/>
        </w:rPr>
        <w:t>Revised budget workbook · Section 5 GPP output-level mapping · Comment-by-comment response matrix</w:t>
      </w:r>
    </w:p>
    <w:p>
      <w:pPr>
        <w:spacing w:after="240"/>
      </w:pPr>
      <w:r>
        <w:rPr>
          <w:b w:val="0"/>
          <w:color w:val="666666"/>
          <w:sz w:val="18"/>
        </w:rPr>
        <w:t>Prepared by Alpha Oumar KALOGA — GreenTransformation2050 (GT2050) · 2026-07-21</w:t>
      </w:r>
    </w:p>
    <w:p>
      <w:pPr>
        <w:spacing w:after="120"/>
      </w:pPr>
      <w:r>
        <w:rPr>
          <w:b/>
          <w:i w:val="0"/>
          <w:color w:val="1F3864"/>
          <w:sz w:val="28"/>
        </w:rPr>
        <w:t>A.  Reply email to Junghwan</w:t>
      </w:r>
    </w:p>
    <w:p>
      <w:pPr>
        <w:spacing w:after="60"/>
      </w:pPr>
      <w:r>
        <w:rPr>
          <w:b/>
          <w:sz w:val="18"/>
        </w:rPr>
        <w:t>To: Junghwan (GCF)   |   From: Alpha KALOGA, GT2050</w:t>
      </w:r>
    </w:p>
    <w:p>
      <w:pPr>
        <w:spacing w:after="160"/>
      </w:pPr>
      <w:r>
        <w:rPr>
          <w:b/>
          <w:sz w:val="18"/>
        </w:rPr>
        <w:t>Subject: Guinea GCF Readiness — revised budget workbook (30/60/10 rebalanced, USD 350/day local rate, PMC compliant)</w:t>
      </w:r>
    </w:p>
    <w:p>
      <w:pPr>
        <w:spacing w:after="120"/>
      </w:pPr>
      <w:r>
        <w:rPr>
          <w:b w:val="0"/>
          <w:sz w:val="20"/>
        </w:rPr>
        <w:t>Dear Junghwan,</w:t>
      </w:r>
    </w:p>
    <w:p>
      <w:pPr>
        <w:spacing w:after="120"/>
      </w:pPr>
      <w:r>
        <w:rPr>
          <w:b w:val="0"/>
          <w:sz w:val="20"/>
        </w:rPr>
        <w:t>Thank you for your careful review and the corrected workbook. Please find attached the revised Readiness budget package, which addresses your comments in full.</w:t>
      </w:r>
    </w:p>
    <w:p>
      <w:pPr>
        <w:spacing w:after="80" w:line="252" w:lineRule="auto"/>
      </w:pPr>
      <w:r>
        <w:rPr>
          <w:rFonts w:ascii="Arial" w:hAnsi="Arial"/>
          <w:b w:val="0"/>
          <w:i w:val="0"/>
          <w:sz w:val="18"/>
        </w:rPr>
        <w:t>In summary: the deliverable budget has been rebalanced to the 30% / 60% / 10% split across Objectives 1, 2 and 3; every local consultant line is now set at the USD 350/day benchmark (international consultants remain at USD 500/day, per your comment); and project management cost has been brought to 7.43%, within the 7.5% Readiness threshold. The D8 Country Programme deliverable is retained blank so that the Objective 2 total formula stays intact, consistent with your note. D9 (five firm-developed Concept Notes, USD 228,000) and D10 (three fully-developed Funding Proposals, USD 700,000) are preserved, and the Disbursement Schedule and Fee Request now tie out exactly to the Budget Plan. Milestones have been added for every deliverable, and the Budget Notes — including the two previously in French — have been translated and updated to reflect these changes. The implementation and disbursement schedules have also been reconciled to the confirmed 36-month period; all milestones, evaluation and closure actions now fall within Years 1-3.</w:t>
      </w:r>
    </w:p>
    <w:p>
      <w:pPr>
        <w:spacing w:after="80" w:line="252" w:lineRule="auto"/>
      </w:pPr>
      <w:r>
        <w:rPr>
          <w:rFonts w:ascii="Arial" w:hAnsi="Arial"/>
          <w:b w:val="0"/>
          <w:i w:val="0"/>
          <w:sz w:val="18"/>
        </w:rPr>
        <w:t>The revised total request is USD 2,620,590, which reduces the overage above the indicative USD 2,500,000 ceiling to USD 120,590. The NDA validates this revised total for submission.</w:t>
      </w:r>
    </w:p>
    <w:p>
      <w:pPr>
        <w:spacing w:after="80" w:line="252" w:lineRule="auto"/>
      </w:pPr>
      <w:r>
        <w:rPr>
          <w:rFonts w:ascii="Arial" w:hAnsi="Arial"/>
          <w:b w:val="0"/>
          <w:i w:val="0"/>
          <w:sz w:val="18"/>
        </w:rPr>
        <w:t>On the Logical Framework, Section 5 (output level) has been reconciled across the proposal and both logframes and validated by the NDA for GPP entry.</w:t>
      </w:r>
    </w:p>
    <w:p>
      <w:pPr>
        <w:spacing w:after="120"/>
      </w:pPr>
      <w:r>
        <w:rPr>
          <w:b w:val="0"/>
          <w:sz w:val="20"/>
        </w:rPr>
        <w:t>We remain at your disposal for any further comments or adjustments.</w:t>
      </w:r>
    </w:p>
    <w:p>
      <w:pPr>
        <w:spacing w:after="120"/>
      </w:pPr>
      <w:r>
        <w:rPr>
          <w:b w:val="0"/>
          <w:sz w:val="20"/>
        </w:rPr>
        <w:t>With kind regards,</w:t>
      </w:r>
    </w:p>
    <w:p>
      <w:pPr>
        <w:spacing w:after="20"/>
      </w:pPr>
      <w:r>
        <w:rPr>
          <w:b/>
          <w:sz w:val="20"/>
        </w:rPr>
        <w:t>Alpha Oumar KALOGA</w:t>
      </w:r>
    </w:p>
    <w:p>
      <w:pPr>
        <w:spacing w:after="20"/>
      </w:pPr>
      <w:r>
        <w:rPr>
          <w:b w:val="0"/>
          <w:color w:val="444444"/>
          <w:sz w:val="18"/>
        </w:rPr>
        <w:t>President, GreenTransformation2050 (GT2050)</w:t>
      </w:r>
    </w:p>
    <w:p>
      <w:pPr>
        <w:spacing w:after="120"/>
      </w:pPr>
      <w:r>
        <w:rPr>
          <w:b w:val="0"/>
          <w:color w:val="444444"/>
          <w:sz w:val="18"/>
        </w:rPr>
        <w:t>greentransformation2050@gmail.com · a.kaloga@gt2050.org</w:t>
      </w:r>
    </w:p>
    <w:p>
      <w:r>
        <w:br w:type="page"/>
      </w:r>
    </w:p>
    <w:p>
      <w:pPr>
        <w:spacing w:after="120"/>
      </w:pPr>
      <w:r>
        <w:rPr>
          <w:b/>
          <w:i w:val="0"/>
          <w:color w:val="1F3864"/>
          <w:sz w:val="28"/>
        </w:rPr>
        <w:t>B.  Section 5 — Logical Framework (output level): GPP field-mapping</w:t>
      </w:r>
    </w:p>
    <w:p>
      <w:pPr>
        <w:spacing w:after="80" w:line="252" w:lineRule="auto"/>
      </w:pPr>
      <w:r>
        <w:rPr>
          <w:rFonts w:ascii="Arial" w:hAnsi="Arial"/>
          <w:b w:val="0"/>
          <w:i w:val="0"/>
          <w:sz w:val="18"/>
        </w:rPr>
        <w:t>Ready-to-enter values for the GPP structured/drop-down fields. The canonical values below are reconciled with the proposal and both logframes and are validated for entry.</w:t>
      </w:r>
    </w:p>
    <w:tbl>
      <w:tblPr>
        <w:tblStyle w:val="TableGrid"/>
        <w:tblW w:type="auto" w:w="0"/>
        <w:tblLook w:firstColumn="1" w:firstRow="1" w:lastColumn="0" w:lastRow="0" w:noHBand="0" w:noVBand="1" w:val="04A0"/>
      </w:tblPr>
      <w:tblGrid>
        <w:gridCol w:w="6912"/>
        <w:gridCol w:w="6912"/>
      </w:tblGrid>
      <w:tr>
        <w:tc>
          <w:tcPr>
            <w:tcW w:type="dxa" w:w="6912"/>
            <w:tcW w:w="4680" w:type="dxa"/>
            <w:shd w:val="clear" w:fill="1F3864"/>
          </w:tcPr>
          <w:p>
            <w:r>
              <w:rPr>
                <w:rFonts w:ascii="Arial" w:hAnsi="Arial"/>
                <w:b w:val="0"/>
                <w:i w:val="0"/>
                <w:color w:val="FFFFFF"/>
                <w:sz w:val="16"/>
              </w:rPr>
              <w:t>GPP field</w:t>
            </w:r>
          </w:p>
        </w:tc>
        <w:tc>
          <w:tcPr>
            <w:tcW w:type="dxa" w:w="6912"/>
            <w:tcW w:w="9000" w:type="dxa"/>
            <w:shd w:val="clear" w:fill="1F3864"/>
          </w:tcPr>
          <w:p>
            <w:r>
              <w:rPr>
                <w:rFonts w:ascii="Arial" w:hAnsi="Arial"/>
                <w:b w:val="0"/>
                <w:i w:val="0"/>
                <w:color w:val="FFFFFF"/>
                <w:sz w:val="16"/>
              </w:rPr>
              <w:t>Value to select / enter</w:t>
            </w:r>
          </w:p>
        </w:tc>
      </w:tr>
      <w:tr>
        <w:tc>
          <w:tcPr>
            <w:tcW w:type="dxa" w:w="6912"/>
            <w:tcW w:w="4680" w:type="dxa"/>
            <w:shd w:val="clear" w:fill="F2F2F2"/>
          </w:tcPr>
          <w:p>
            <w:r>
              <w:rPr>
                <w:rFonts w:ascii="Arial" w:hAnsi="Arial"/>
                <w:b w:val="0"/>
                <w:i w:val="0"/>
                <w:sz w:val="16"/>
              </w:rPr>
              <w:t>Objective 1 (dropdown)</w:t>
            </w:r>
          </w:p>
        </w:tc>
        <w:tc>
          <w:tcPr>
            <w:tcW w:type="dxa" w:w="6912"/>
            <w:tcW w:w="9000" w:type="dxa"/>
          </w:tcPr>
          <w:p>
            <w:r>
              <w:rPr>
                <w:rFonts w:ascii="Arial" w:hAnsi="Arial"/>
                <w:b w:val="0"/>
                <w:i w:val="0"/>
                <w:sz w:val="16"/>
              </w:rPr>
              <w:t>Capacity-building for climate-finance coordination and setting up the enabling environment for integrated climate investment</w:t>
            </w:r>
          </w:p>
        </w:tc>
      </w:tr>
      <w:tr>
        <w:tc>
          <w:tcPr>
            <w:tcW w:type="dxa" w:w="6912"/>
            <w:tcW w:w="4680" w:type="dxa"/>
            <w:shd w:val="clear" w:fill="F2F2F2"/>
          </w:tcPr>
          <w:p>
            <w:r>
              <w:rPr>
                <w:rFonts w:ascii="Arial" w:hAnsi="Arial"/>
                <w:b w:val="0"/>
                <w:i w:val="0"/>
                <w:sz w:val="16"/>
              </w:rPr>
              <w:t>Outcome 1.1 (tick ☒)</w:t>
            </w:r>
          </w:p>
        </w:tc>
        <w:tc>
          <w:tcPr>
            <w:tcW w:type="dxa" w:w="6912"/>
            <w:tcW w:w="9000" w:type="dxa"/>
          </w:tcPr>
          <w:p>
            <w:r>
              <w:rPr>
                <w:rFonts w:ascii="Arial" w:hAnsi="Arial"/>
                <w:b w:val="0"/>
                <w:i w:val="0"/>
                <w:sz w:val="16"/>
              </w:rPr>
              <w:t>NDAs/focal points have enhanced capacity to fulfil roles, responsibilities and policy requirements, incl. coordination mechanisms</w:t>
            </w:r>
          </w:p>
        </w:tc>
      </w:tr>
      <w:tr>
        <w:tc>
          <w:tcPr>
            <w:tcW w:type="dxa" w:w="6912"/>
            <w:tcW w:w="4680" w:type="dxa"/>
            <w:shd w:val="clear" w:fill="F2F2F2"/>
          </w:tcPr>
          <w:p>
            <w:r>
              <w:rPr>
                <w:rFonts w:ascii="Arial" w:hAnsi="Arial"/>
                <w:b w:val="0"/>
                <w:i w:val="0"/>
                <w:sz w:val="16"/>
              </w:rPr>
              <w:t>Output 1.1.1</w:t>
            </w:r>
          </w:p>
        </w:tc>
        <w:tc>
          <w:tcPr>
            <w:tcW w:type="dxa" w:w="6912"/>
            <w:tcW w:w="9000" w:type="dxa"/>
          </w:tcPr>
          <w:p>
            <w:r>
              <w:rPr>
                <w:rFonts w:ascii="Arial" w:hAnsi="Arial"/>
                <w:b w:val="0"/>
                <w:i w:val="0"/>
                <w:sz w:val="16"/>
              </w:rPr>
              <w:t>NDA/focal point and other climate stakeholders have enhanced capacity to develop, advance and implement NDCs, NAPs and LTSs</w:t>
            </w:r>
          </w:p>
        </w:tc>
      </w:tr>
      <w:tr>
        <w:tc>
          <w:tcPr>
            <w:tcW w:type="dxa" w:w="6912"/>
            <w:tcW w:w="4680" w:type="dxa"/>
            <w:shd w:val="clear" w:fill="F2F2F2"/>
          </w:tcPr>
          <w:p>
            <w:r>
              <w:rPr>
                <w:rFonts w:ascii="Arial" w:hAnsi="Arial"/>
                <w:b w:val="0"/>
                <w:i w:val="0"/>
                <w:sz w:val="16"/>
              </w:rPr>
              <w:t xml:space="preserve">  Indicator</w:t>
            </w:r>
          </w:p>
        </w:tc>
        <w:tc>
          <w:tcPr>
            <w:tcW w:type="dxa" w:w="6912"/>
            <w:tcW w:w="9000" w:type="dxa"/>
          </w:tcPr>
          <w:p>
            <w:r>
              <w:rPr>
                <w:rFonts w:ascii="Arial" w:hAnsi="Arial"/>
                <w:b w:val="0"/>
                <w:i w:val="0"/>
                <w:sz w:val="16"/>
              </w:rPr>
              <w:t>Proportion of NDA/focal point, Coordination Mechanism and other stakeholders reporting enhanced capacity (Individuals: X/total)</w:t>
            </w:r>
          </w:p>
        </w:tc>
      </w:tr>
      <w:tr>
        <w:tc>
          <w:tcPr>
            <w:tcW w:type="dxa" w:w="6912"/>
            <w:tcW w:w="4680" w:type="dxa"/>
            <w:shd w:val="clear" w:fill="F2F2F2"/>
          </w:tcPr>
          <w:p>
            <w:r>
              <w:rPr>
                <w:rFonts w:ascii="Arial" w:hAnsi="Arial"/>
                <w:b w:val="0"/>
                <w:i w:val="0"/>
                <w:sz w:val="16"/>
              </w:rPr>
              <w:t xml:space="preserve">  Unit</w:t>
            </w:r>
          </w:p>
        </w:tc>
        <w:tc>
          <w:tcPr>
            <w:tcW w:type="dxa" w:w="6912"/>
            <w:tcW w:w="9000" w:type="dxa"/>
          </w:tcPr>
          <w:p>
            <w:r>
              <w:rPr>
                <w:rFonts w:ascii="Arial" w:hAnsi="Arial"/>
                <w:b w:val="0"/>
                <w:i w:val="0"/>
                <w:sz w:val="16"/>
              </w:rPr>
              <w:t>Percentage; denominator = 120 participants</w:t>
            </w:r>
          </w:p>
        </w:tc>
      </w:tr>
      <w:tr>
        <w:tc>
          <w:tcPr>
            <w:tcW w:type="dxa" w:w="6912"/>
            <w:tcW w:w="4680" w:type="dxa"/>
            <w:shd w:val="clear" w:fill="F2F2F2"/>
          </w:tcPr>
          <w:p>
            <w:r>
              <w:rPr>
                <w:rFonts w:ascii="Arial" w:hAnsi="Arial"/>
                <w:b w:val="0"/>
                <w:i w:val="0"/>
                <w:sz w:val="16"/>
              </w:rPr>
              <w:t xml:space="preserve">  Baseline / Target</w:t>
            </w:r>
          </w:p>
        </w:tc>
        <w:tc>
          <w:tcPr>
            <w:tcW w:type="dxa" w:w="6912"/>
            <w:tcW w:w="9000" w:type="dxa"/>
          </w:tcPr>
          <w:p>
            <w:r>
              <w:rPr>
                <w:rFonts w:ascii="Arial" w:hAnsi="Arial"/>
                <w:b w:val="0"/>
                <w:i w:val="0"/>
                <w:sz w:val="16"/>
              </w:rPr>
              <w:t>0% / ≥70% of 120 participants reporting enhanced capacity</w:t>
            </w:r>
          </w:p>
        </w:tc>
      </w:tr>
      <w:tr>
        <w:tc>
          <w:tcPr>
            <w:tcW w:type="dxa" w:w="6912"/>
            <w:tcW w:w="4680" w:type="dxa"/>
            <w:shd w:val="clear" w:fill="F2F2F2"/>
          </w:tcPr>
          <w:p>
            <w:r>
              <w:rPr>
                <w:rFonts w:ascii="Arial" w:hAnsi="Arial"/>
                <w:b w:val="0"/>
                <w:i w:val="0"/>
                <w:sz w:val="16"/>
              </w:rPr>
              <w:t xml:space="preserve">  Disaggregation</w:t>
            </w:r>
          </w:p>
        </w:tc>
        <w:tc>
          <w:tcPr>
            <w:tcW w:type="dxa" w:w="6912"/>
            <w:tcW w:w="9000" w:type="dxa"/>
          </w:tcPr>
          <w:p>
            <w:r>
              <w:rPr>
                <w:rFonts w:ascii="Arial" w:hAnsi="Arial"/>
                <w:b w:val="0"/>
                <w:i w:val="0"/>
                <w:sz w:val="16"/>
              </w:rPr>
              <w:t>Sex; stakeholder group; strategic framework (NDC/NAP/LTS)</w:t>
            </w:r>
          </w:p>
        </w:tc>
      </w:tr>
      <w:tr>
        <w:tc>
          <w:tcPr>
            <w:tcW w:type="dxa" w:w="6912"/>
            <w:tcW w:w="4680" w:type="dxa"/>
            <w:shd w:val="clear" w:fill="F2F2F2"/>
          </w:tcPr>
          <w:p>
            <w:r>
              <w:rPr>
                <w:rFonts w:ascii="Arial" w:hAnsi="Arial"/>
                <w:b w:val="0"/>
                <w:i w:val="0"/>
                <w:sz w:val="16"/>
              </w:rPr>
              <w:t xml:space="preserve">  Deliverables (tick)</w:t>
            </w:r>
          </w:p>
        </w:tc>
        <w:tc>
          <w:tcPr>
            <w:tcW w:type="dxa" w:w="6912"/>
            <w:tcW w:w="9000" w:type="dxa"/>
          </w:tcPr>
          <w:p>
            <w:r>
              <w:rPr>
                <w:rFonts w:ascii="Arial" w:hAnsi="Arial"/>
                <w:b w:val="0"/>
                <w:i w:val="0"/>
                <w:sz w:val="16"/>
              </w:rPr>
              <w:t>☒ D1 · ☒ D2</w:t>
            </w:r>
          </w:p>
        </w:tc>
      </w:tr>
      <w:tr>
        <w:tc>
          <w:tcPr>
            <w:tcW w:type="dxa" w:w="6912"/>
            <w:tcW w:w="4680" w:type="dxa"/>
            <w:shd w:val="clear" w:fill="F2F2F2"/>
          </w:tcPr>
          <w:p>
            <w:r>
              <w:rPr>
                <w:rFonts w:ascii="Arial" w:hAnsi="Arial"/>
                <w:b w:val="0"/>
                <w:i w:val="0"/>
                <w:sz w:val="16"/>
              </w:rPr>
              <w:t>Output 1.1.2</w:t>
            </w:r>
          </w:p>
        </w:tc>
        <w:tc>
          <w:tcPr>
            <w:tcW w:type="dxa" w:w="6912"/>
            <w:tcW w:w="9000" w:type="dxa"/>
          </w:tcPr>
          <w:p>
            <w:r>
              <w:rPr>
                <w:rFonts w:ascii="Arial" w:hAnsi="Arial"/>
                <w:b w:val="0"/>
                <w:i w:val="0"/>
                <w:sz w:val="16"/>
              </w:rPr>
              <w:t>An inclusive Coordination Mechanism has enhanced capacity to fulfil its mandate</w:t>
            </w:r>
          </w:p>
        </w:tc>
      </w:tr>
      <w:tr>
        <w:tc>
          <w:tcPr>
            <w:tcW w:type="dxa" w:w="6912"/>
            <w:tcW w:w="4680" w:type="dxa"/>
            <w:shd w:val="clear" w:fill="F2F2F2"/>
          </w:tcPr>
          <w:p>
            <w:r>
              <w:rPr>
                <w:rFonts w:ascii="Arial" w:hAnsi="Arial"/>
                <w:b w:val="0"/>
                <w:i w:val="0"/>
                <w:sz w:val="16"/>
              </w:rPr>
              <w:t xml:space="preserve">  Indicator 1 / Unit</w:t>
            </w:r>
          </w:p>
        </w:tc>
        <w:tc>
          <w:tcPr>
            <w:tcW w:type="dxa" w:w="6912"/>
            <w:tcW w:w="9000" w:type="dxa"/>
          </w:tcPr>
          <w:p>
            <w:r>
              <w:rPr>
                <w:rFonts w:ascii="Arial" w:hAnsi="Arial"/>
                <w:b w:val="0"/>
                <w:i w:val="0"/>
                <w:sz w:val="16"/>
              </w:rPr>
              <w:t>An inclusive Coordination Mechanism or Country Platform is supported  ·  No. of Coordination Mechanisms / Country Platforms</w:t>
            </w:r>
          </w:p>
        </w:tc>
      </w:tr>
      <w:tr>
        <w:tc>
          <w:tcPr>
            <w:tcW w:type="dxa" w:w="6912"/>
            <w:tcW w:w="4680" w:type="dxa"/>
            <w:shd w:val="clear" w:fill="F2F2F2"/>
          </w:tcPr>
          <w:p>
            <w:r>
              <w:rPr>
                <w:rFonts w:ascii="Arial" w:hAnsi="Arial"/>
                <w:b w:val="0"/>
                <w:i w:val="0"/>
                <w:sz w:val="16"/>
              </w:rPr>
              <w:t xml:space="preserve">  Baseline / Target</w:t>
            </w:r>
          </w:p>
        </w:tc>
        <w:tc>
          <w:tcPr>
            <w:tcW w:type="dxa" w:w="6912"/>
            <w:tcW w:w="9000" w:type="dxa"/>
          </w:tcPr>
          <w:p>
            <w:r>
              <w:rPr>
                <w:rFonts w:ascii="Arial" w:hAnsi="Arial"/>
                <w:b w:val="0"/>
                <w:i w:val="0"/>
                <w:sz w:val="16"/>
              </w:rPr>
              <w:t>0  /  1 (National Climate Finance Coordination Platform)</w:t>
            </w:r>
          </w:p>
        </w:tc>
      </w:tr>
      <w:tr>
        <w:tc>
          <w:tcPr>
            <w:tcW w:type="dxa" w:w="6912"/>
            <w:tcW w:w="4680" w:type="dxa"/>
            <w:shd w:val="clear" w:fill="F2F2F2"/>
          </w:tcPr>
          <w:p>
            <w:r>
              <w:rPr>
                <w:rFonts w:ascii="Arial" w:hAnsi="Arial"/>
                <w:b w:val="0"/>
                <w:i w:val="0"/>
                <w:sz w:val="16"/>
              </w:rPr>
              <w:t xml:space="preserve">  Indicator 2 / Unit</w:t>
            </w:r>
          </w:p>
        </w:tc>
        <w:tc>
          <w:tcPr>
            <w:tcW w:type="dxa" w:w="6912"/>
            <w:tcW w:w="9000" w:type="dxa"/>
          </w:tcPr>
          <w:p>
            <w:r>
              <w:rPr>
                <w:rFonts w:ascii="Arial" w:hAnsi="Arial"/>
                <w:b w:val="0"/>
                <w:i w:val="0"/>
                <w:sz w:val="16"/>
              </w:rPr>
              <w:t>Number of coordination meetings or dialogues undertaken  ·  No. of Meetings/Dialogues</w:t>
            </w:r>
          </w:p>
        </w:tc>
      </w:tr>
      <w:tr>
        <w:tc>
          <w:tcPr>
            <w:tcW w:type="dxa" w:w="6912"/>
            <w:tcW w:w="4680" w:type="dxa"/>
            <w:shd w:val="clear" w:fill="F2F2F2"/>
          </w:tcPr>
          <w:p>
            <w:r>
              <w:rPr>
                <w:rFonts w:ascii="Arial" w:hAnsi="Arial"/>
                <w:b w:val="0"/>
                <w:i w:val="0"/>
                <w:sz w:val="16"/>
              </w:rPr>
              <w:t xml:space="preserve">  Baseline / Target</w:t>
            </w:r>
          </w:p>
        </w:tc>
        <w:tc>
          <w:tcPr>
            <w:tcW w:type="dxa" w:w="6912"/>
            <w:tcW w:w="9000" w:type="dxa"/>
          </w:tcPr>
          <w:p>
            <w:r>
              <w:rPr>
                <w:rFonts w:ascii="Arial" w:hAnsi="Arial"/>
                <w:b w:val="0"/>
                <w:i w:val="0"/>
                <w:sz w:val="16"/>
              </w:rPr>
              <w:t>0 / 9 meetings or dialogues during Months 1-36</w:t>
            </w:r>
          </w:p>
        </w:tc>
      </w:tr>
      <w:tr>
        <w:tc>
          <w:tcPr>
            <w:tcW w:type="dxa" w:w="6912"/>
            <w:tcW w:w="4680" w:type="dxa"/>
            <w:shd w:val="clear" w:fill="F2F2F2"/>
          </w:tcPr>
          <w:p>
            <w:r>
              <w:rPr>
                <w:rFonts w:ascii="Arial" w:hAnsi="Arial"/>
                <w:b w:val="0"/>
                <w:i w:val="0"/>
                <w:sz w:val="16"/>
              </w:rPr>
              <w:t xml:space="preserve">  Deliverables (tick)</w:t>
            </w:r>
          </w:p>
        </w:tc>
        <w:tc>
          <w:tcPr>
            <w:tcW w:type="dxa" w:w="6912"/>
            <w:tcW w:w="9000" w:type="dxa"/>
          </w:tcPr>
          <w:p>
            <w:r>
              <w:rPr>
                <w:rFonts w:ascii="Arial" w:hAnsi="Arial"/>
                <w:b w:val="0"/>
                <w:i w:val="0"/>
                <w:sz w:val="16"/>
              </w:rPr>
              <w:t>☒ D2</w:t>
            </w:r>
          </w:p>
        </w:tc>
      </w:tr>
      <w:tr>
        <w:tc>
          <w:tcPr>
            <w:tcW w:type="dxa" w:w="6912"/>
            <w:tcW w:w="4680" w:type="dxa"/>
            <w:shd w:val="clear" w:fill="F2F2F2"/>
          </w:tcPr>
          <w:p>
            <w:r>
              <w:rPr>
                <w:rFonts w:ascii="Arial" w:hAnsi="Arial"/>
                <w:b w:val="0"/>
                <w:i w:val="0"/>
                <w:sz w:val="16"/>
              </w:rPr>
              <w:t>Outcome 1.2 (tick ☒)</w:t>
            </w:r>
          </w:p>
        </w:tc>
        <w:tc>
          <w:tcPr>
            <w:tcW w:type="dxa" w:w="6912"/>
            <w:tcW w:w="9000" w:type="dxa"/>
          </w:tcPr>
          <w:p>
            <w:r>
              <w:rPr>
                <w:rFonts w:ascii="Arial" w:hAnsi="Arial"/>
                <w:b w:val="0"/>
                <w:i w:val="0"/>
                <w:sz w:val="16"/>
              </w:rPr>
              <w:t>Developing countries design and implement strategic frameworks (NDC/NAP/LTS), policies and instruments</w:t>
            </w:r>
          </w:p>
        </w:tc>
      </w:tr>
      <w:tr>
        <w:tc>
          <w:tcPr>
            <w:tcW w:type="dxa" w:w="6912"/>
            <w:tcW w:w="4680" w:type="dxa"/>
            <w:shd w:val="clear" w:fill="F2F2F2"/>
          </w:tcPr>
          <w:p>
            <w:r>
              <w:rPr>
                <w:rFonts w:ascii="Arial" w:hAnsi="Arial"/>
                <w:b w:val="0"/>
                <w:i w:val="0"/>
                <w:sz w:val="16"/>
              </w:rPr>
              <w:t>Output 1.2.1</w:t>
            </w:r>
          </w:p>
        </w:tc>
        <w:tc>
          <w:tcPr>
            <w:tcW w:type="dxa" w:w="6912"/>
            <w:tcW w:w="9000" w:type="dxa"/>
          </w:tcPr>
          <w:p>
            <w:r>
              <w:rPr>
                <w:rFonts w:ascii="Arial" w:hAnsi="Arial"/>
                <w:b w:val="0"/>
                <w:i w:val="0"/>
                <w:sz w:val="16"/>
              </w:rPr>
              <w:t>Inclusive strategic frameworks (NDCs, NAPs, LTSs) and policy instruments created, updated and/or strengthened</w:t>
            </w:r>
          </w:p>
        </w:tc>
      </w:tr>
      <w:tr>
        <w:tc>
          <w:tcPr>
            <w:tcW w:type="dxa" w:w="6912"/>
            <w:tcW w:w="4680" w:type="dxa"/>
            <w:shd w:val="clear" w:fill="F2F2F2"/>
          </w:tcPr>
          <w:p>
            <w:r>
              <w:rPr>
                <w:rFonts w:ascii="Arial" w:hAnsi="Arial"/>
                <w:b w:val="0"/>
                <w:i w:val="0"/>
                <w:sz w:val="16"/>
              </w:rPr>
              <w:t xml:space="preserve">  Indicator / Unit</w:t>
            </w:r>
          </w:p>
        </w:tc>
        <w:tc>
          <w:tcPr>
            <w:tcW w:type="dxa" w:w="6912"/>
            <w:tcW w:w="9000" w:type="dxa"/>
          </w:tcPr>
          <w:p>
            <w:r>
              <w:rPr>
                <w:rFonts w:ascii="Arial" w:hAnsi="Arial"/>
                <w:b w:val="0"/>
                <w:i w:val="0"/>
                <w:sz w:val="16"/>
              </w:rPr>
              <w:t>Number of strategic frameworks and policy instruments created/updated/strengthened  ·  No. of frameworks/instruments</w:t>
            </w:r>
          </w:p>
        </w:tc>
      </w:tr>
      <w:tr>
        <w:tc>
          <w:tcPr>
            <w:tcW w:type="dxa" w:w="6912"/>
            <w:tcW w:w="4680" w:type="dxa"/>
            <w:shd w:val="clear" w:fill="F2F2F2"/>
          </w:tcPr>
          <w:p>
            <w:r>
              <w:rPr>
                <w:rFonts w:ascii="Arial" w:hAnsi="Arial"/>
                <w:b w:val="0"/>
                <w:i w:val="0"/>
                <w:sz w:val="16"/>
              </w:rPr>
              <w:t xml:space="preserve">  Baseline / Target</w:t>
            </w:r>
          </w:p>
        </w:tc>
        <w:tc>
          <w:tcPr>
            <w:tcW w:type="dxa" w:w="6912"/>
            <w:tcW w:w="9000" w:type="dxa"/>
          </w:tcPr>
          <w:p>
            <w:r>
              <w:rPr>
                <w:rFonts w:ascii="Arial" w:hAnsi="Arial"/>
                <w:b w:val="0"/>
                <w:i w:val="0"/>
                <w:sz w:val="16"/>
              </w:rPr>
              <w:t>0 / 3 strategic frameworks advanced (NAP, NDC, LTS) + ≥1 private-sector policy instrument</w:t>
            </w:r>
          </w:p>
        </w:tc>
      </w:tr>
      <w:tr>
        <w:tc>
          <w:tcPr>
            <w:tcW w:type="dxa" w:w="6912"/>
            <w:tcW w:w="4680" w:type="dxa"/>
            <w:shd w:val="clear" w:fill="F2F2F2"/>
          </w:tcPr>
          <w:p>
            <w:r>
              <w:rPr>
                <w:rFonts w:ascii="Arial" w:hAnsi="Arial"/>
                <w:b w:val="0"/>
                <w:i w:val="0"/>
                <w:sz w:val="16"/>
              </w:rPr>
              <w:t xml:space="preserve">  Disaggregation</w:t>
            </w:r>
          </w:p>
        </w:tc>
        <w:tc>
          <w:tcPr>
            <w:tcW w:type="dxa" w:w="6912"/>
            <w:tcW w:w="9000" w:type="dxa"/>
          </w:tcPr>
          <w:p>
            <w:r>
              <w:rPr>
                <w:rFonts w:ascii="Arial" w:hAnsi="Arial"/>
                <w:b w:val="0"/>
                <w:i w:val="0"/>
                <w:sz w:val="16"/>
              </w:rPr>
              <w:t>Type of instrument (NDC, NAP, LTS, policy/regulation)</w:t>
            </w:r>
          </w:p>
        </w:tc>
      </w:tr>
      <w:tr>
        <w:tc>
          <w:tcPr>
            <w:tcW w:type="dxa" w:w="6912"/>
            <w:tcW w:w="4680" w:type="dxa"/>
            <w:shd w:val="clear" w:fill="F2F2F2"/>
          </w:tcPr>
          <w:p>
            <w:r>
              <w:rPr>
                <w:rFonts w:ascii="Arial" w:hAnsi="Arial"/>
                <w:b w:val="0"/>
                <w:i w:val="0"/>
                <w:sz w:val="16"/>
              </w:rPr>
              <w:t xml:space="preserve">  Deliverables (tick)</w:t>
            </w:r>
          </w:p>
        </w:tc>
        <w:tc>
          <w:tcPr>
            <w:tcW w:type="dxa" w:w="6912"/>
            <w:tcW w:w="9000" w:type="dxa"/>
          </w:tcPr>
          <w:p>
            <w:r>
              <w:rPr>
                <w:rFonts w:ascii="Arial" w:hAnsi="Arial"/>
                <w:b w:val="0"/>
                <w:i w:val="0"/>
                <w:sz w:val="16"/>
              </w:rPr>
              <w:t>☒ D3 · ☒ D4 · ☒ D5 · ☒ D6</w:t>
            </w:r>
          </w:p>
        </w:tc>
      </w:tr>
      <w:tr>
        <w:tc>
          <w:tcPr>
            <w:tcW w:type="dxa" w:w="6912"/>
            <w:tcW w:w="4680" w:type="dxa"/>
            <w:shd w:val="clear" w:fill="F2F2F2"/>
          </w:tcPr>
          <w:p>
            <w:r>
              <w:rPr>
                <w:rFonts w:ascii="Arial" w:hAnsi="Arial"/>
                <w:b w:val="0"/>
                <w:i w:val="0"/>
                <w:sz w:val="16"/>
              </w:rPr>
              <w:t>Outcome 1.3 (tick ☒)</w:t>
            </w:r>
          </w:p>
        </w:tc>
        <w:tc>
          <w:tcPr>
            <w:tcW w:type="dxa" w:w="6912"/>
            <w:tcW w:w="9000" w:type="dxa"/>
          </w:tcPr>
          <w:p>
            <w:r>
              <w:rPr>
                <w:rFonts w:ascii="Arial" w:hAnsi="Arial"/>
                <w:b w:val="0"/>
                <w:i w:val="0"/>
                <w:sz w:val="16"/>
              </w:rPr>
              <w:t>DAEs have met/maintained GCF accreditation standards and strengthened programming capacities</w:t>
            </w:r>
          </w:p>
        </w:tc>
      </w:tr>
      <w:tr>
        <w:tc>
          <w:tcPr>
            <w:tcW w:type="dxa" w:w="6912"/>
            <w:tcW w:w="4680" w:type="dxa"/>
            <w:shd w:val="clear" w:fill="F2F2F2"/>
          </w:tcPr>
          <w:p>
            <w:r>
              <w:rPr>
                <w:rFonts w:ascii="Arial" w:hAnsi="Arial"/>
                <w:b w:val="0"/>
                <w:i w:val="0"/>
                <w:sz w:val="16"/>
              </w:rPr>
              <w:t>Output 1.3.1</w:t>
            </w:r>
          </w:p>
        </w:tc>
        <w:tc>
          <w:tcPr>
            <w:tcW w:type="dxa" w:w="6912"/>
            <w:tcW w:w="9000" w:type="dxa"/>
          </w:tcPr>
          <w:p>
            <w:r>
              <w:rPr>
                <w:rFonts w:ascii="Arial" w:hAnsi="Arial"/>
                <w:b w:val="0"/>
                <w:i w:val="0"/>
                <w:sz w:val="16"/>
              </w:rPr>
              <w:t>Institutional gaps of direct access applicants and DAEs addressed to obtain and/or maintain accreditation</w:t>
            </w:r>
          </w:p>
        </w:tc>
      </w:tr>
      <w:tr>
        <w:tc>
          <w:tcPr>
            <w:tcW w:type="dxa" w:w="6912"/>
            <w:tcW w:w="4680" w:type="dxa"/>
            <w:shd w:val="clear" w:fill="F2F2F2"/>
          </w:tcPr>
          <w:p>
            <w:r>
              <w:rPr>
                <w:rFonts w:ascii="Arial" w:hAnsi="Arial"/>
                <w:b w:val="0"/>
                <w:i w:val="0"/>
                <w:sz w:val="16"/>
              </w:rPr>
              <w:t xml:space="preserve">  Indicator / Unit</w:t>
            </w:r>
          </w:p>
        </w:tc>
        <w:tc>
          <w:tcPr>
            <w:tcW w:type="dxa" w:w="6912"/>
            <w:tcW w:w="9000" w:type="dxa"/>
          </w:tcPr>
          <w:p>
            <w:r>
              <w:rPr>
                <w:rFonts w:ascii="Arial" w:hAnsi="Arial"/>
                <w:b w:val="0"/>
                <w:i w:val="0"/>
                <w:sz w:val="16"/>
              </w:rPr>
              <w:t>Number of direct access entities supported to meet accreditation requirements  ·  No. of Entities</w:t>
            </w:r>
          </w:p>
        </w:tc>
      </w:tr>
      <w:tr>
        <w:tc>
          <w:tcPr>
            <w:tcW w:type="dxa" w:w="6912"/>
            <w:tcW w:w="4680" w:type="dxa"/>
            <w:shd w:val="clear" w:fill="F2F2F2"/>
          </w:tcPr>
          <w:p>
            <w:r>
              <w:rPr>
                <w:rFonts w:ascii="Arial" w:hAnsi="Arial"/>
                <w:b w:val="0"/>
                <w:i w:val="0"/>
                <w:sz w:val="16"/>
              </w:rPr>
              <w:t xml:space="preserve">  Baseline / Target</w:t>
            </w:r>
          </w:p>
        </w:tc>
        <w:tc>
          <w:tcPr>
            <w:tcW w:type="dxa" w:w="6912"/>
            <w:tcW w:w="9000" w:type="dxa"/>
          </w:tcPr>
          <w:p>
            <w:r>
              <w:rPr>
                <w:rFonts w:ascii="Arial" w:hAnsi="Arial"/>
                <w:b w:val="0"/>
                <w:i w:val="0"/>
                <w:sz w:val="16"/>
              </w:rPr>
              <w:t>0  /  2  (ANAFIC, Access Bank Guinea — subject to GCF Accreditation Team confirmation)</w:t>
            </w:r>
          </w:p>
        </w:tc>
      </w:tr>
      <w:tr>
        <w:tc>
          <w:tcPr>
            <w:tcW w:type="dxa" w:w="6912"/>
            <w:tcW w:w="4680" w:type="dxa"/>
            <w:shd w:val="clear" w:fill="F2F2F2"/>
          </w:tcPr>
          <w:p>
            <w:r>
              <w:rPr>
                <w:rFonts w:ascii="Arial" w:hAnsi="Arial"/>
                <w:b w:val="0"/>
                <w:i w:val="0"/>
                <w:sz w:val="16"/>
              </w:rPr>
              <w:t xml:space="preserve">  Deliverables (tick)</w:t>
            </w:r>
          </w:p>
        </w:tc>
        <w:tc>
          <w:tcPr>
            <w:tcW w:type="dxa" w:w="6912"/>
            <w:tcW w:w="9000" w:type="dxa"/>
          </w:tcPr>
          <w:p>
            <w:r>
              <w:rPr>
                <w:rFonts w:ascii="Arial" w:hAnsi="Arial"/>
                <w:b w:val="0"/>
                <w:i w:val="0"/>
                <w:sz w:val="16"/>
              </w:rPr>
              <w:t>☒ D7</w:t>
            </w:r>
          </w:p>
        </w:tc>
      </w:tr>
      <w:tr>
        <w:tc>
          <w:tcPr>
            <w:tcW w:type="dxa" w:w="6912"/>
            <w:tcW w:w="4680" w:type="dxa"/>
            <w:shd w:val="clear" w:fill="F2F2F2"/>
          </w:tcPr>
          <w:p>
            <w:r>
              <w:rPr>
                <w:rFonts w:ascii="Arial" w:hAnsi="Arial"/>
                <w:b w:val="0"/>
                <w:i w:val="0"/>
                <w:sz w:val="16"/>
              </w:rPr>
              <w:t>Objective 2 (dropdown)</w:t>
            </w:r>
          </w:p>
        </w:tc>
        <w:tc>
          <w:tcPr>
            <w:tcW w:type="dxa" w:w="6912"/>
            <w:tcW w:w="9000" w:type="dxa"/>
          </w:tcPr>
          <w:p>
            <w:r>
              <w:rPr>
                <w:rFonts w:ascii="Arial" w:hAnsi="Arial"/>
                <w:b w:val="0"/>
                <w:i w:val="0"/>
                <w:sz w:val="16"/>
              </w:rPr>
              <w:t>Paradigm-shifting GCF pipeline development and implementation for adaptation and mitigation, guided by USP-2 programming targets</w:t>
            </w:r>
          </w:p>
        </w:tc>
      </w:tr>
      <w:tr>
        <w:tc>
          <w:tcPr>
            <w:tcW w:type="dxa" w:w="6912"/>
            <w:tcW w:w="4680" w:type="dxa"/>
            <w:shd w:val="clear" w:fill="F2F2F2"/>
          </w:tcPr>
          <w:p>
            <w:r>
              <w:rPr>
                <w:rFonts w:ascii="Arial" w:hAnsi="Arial"/>
                <w:b w:val="0"/>
                <w:i w:val="0"/>
                <w:sz w:val="16"/>
              </w:rPr>
              <w:t>Outcome 2.1 (tick ☒)</w:t>
            </w:r>
          </w:p>
        </w:tc>
        <w:tc>
          <w:tcPr>
            <w:tcW w:type="dxa" w:w="6912"/>
            <w:tcW w:w="9000" w:type="dxa"/>
          </w:tcPr>
          <w:p>
            <w:r>
              <w:rPr>
                <w:rFonts w:ascii="Arial" w:hAnsi="Arial"/>
                <w:b w:val="0"/>
                <w:i w:val="0"/>
                <w:sz w:val="16"/>
              </w:rPr>
              <w:t>Developing countries have developed/updated country programmes — retained in architecture</w:t>
            </w:r>
          </w:p>
        </w:tc>
      </w:tr>
      <w:tr>
        <w:tc>
          <w:tcPr>
            <w:tcW w:type="dxa" w:w="6912"/>
            <w:tcW w:w="4680" w:type="dxa"/>
            <w:shd w:val="clear" w:fill="F2F2F2"/>
          </w:tcPr>
          <w:p>
            <w:r>
              <w:rPr>
                <w:rFonts w:ascii="Arial" w:hAnsi="Arial"/>
                <w:b w:val="0"/>
                <w:i w:val="0"/>
                <w:sz w:val="16"/>
              </w:rPr>
              <w:t>Output 2.1.1 / D8</w:t>
            </w:r>
          </w:p>
        </w:tc>
        <w:tc>
          <w:tcPr>
            <w:tcW w:type="dxa" w:w="6912"/>
            <w:tcW w:w="9000" w:type="dxa"/>
          </w:tcPr>
          <w:p>
            <w:r>
              <w:rPr>
                <w:rFonts w:ascii="Arial" w:hAnsi="Arial"/>
                <w:b w:val="0"/>
                <w:i w:val="0"/>
                <w:sz w:val="16"/>
              </w:rPr>
              <w:t>Country Programme Document — NOT APPLICABLE / REMOVED (per GCF comment 2.1.1); function absorbed into Outputs 1.1.2 &amp; 1.2.1. Baseline/Target N/A. D8 unticked (☐), no budget.</w:t>
            </w:r>
          </w:p>
        </w:tc>
      </w:tr>
      <w:tr>
        <w:tc>
          <w:tcPr>
            <w:tcW w:type="dxa" w:w="6912"/>
            <w:tcW w:w="4680" w:type="dxa"/>
            <w:shd w:val="clear" w:fill="F2F2F2"/>
          </w:tcPr>
          <w:p>
            <w:r>
              <w:rPr>
                <w:rFonts w:ascii="Arial" w:hAnsi="Arial"/>
                <w:b w:val="0"/>
                <w:i w:val="0"/>
                <w:sz w:val="16"/>
              </w:rPr>
              <w:t>Outcome 2.2 (tick ☒)</w:t>
            </w:r>
          </w:p>
        </w:tc>
        <w:tc>
          <w:tcPr>
            <w:tcW w:type="dxa" w:w="6912"/>
            <w:tcW w:w="9000" w:type="dxa"/>
          </w:tcPr>
          <w:p>
            <w:r>
              <w:rPr>
                <w:rFonts w:ascii="Arial" w:hAnsi="Arial"/>
                <w:b w:val="0"/>
                <w:i w:val="0"/>
                <w:sz w:val="16"/>
              </w:rPr>
              <w:t>Developing countries have developed high-quality concept notes linked to approved GCF proposals</w:t>
            </w:r>
          </w:p>
        </w:tc>
      </w:tr>
      <w:tr>
        <w:tc>
          <w:tcPr>
            <w:tcW w:type="dxa" w:w="6912"/>
            <w:tcW w:w="4680" w:type="dxa"/>
            <w:shd w:val="clear" w:fill="F2F2F2"/>
          </w:tcPr>
          <w:p>
            <w:r>
              <w:rPr>
                <w:rFonts w:ascii="Arial" w:hAnsi="Arial"/>
                <w:b w:val="0"/>
                <w:i w:val="0"/>
                <w:sz w:val="16"/>
              </w:rPr>
              <w:t>Output 2.2.1</w:t>
            </w:r>
          </w:p>
        </w:tc>
        <w:tc>
          <w:tcPr>
            <w:tcW w:type="dxa" w:w="6912"/>
            <w:tcW w:w="9000" w:type="dxa"/>
          </w:tcPr>
          <w:p>
            <w:r>
              <w:rPr>
                <w:rFonts w:ascii="Arial" w:hAnsi="Arial"/>
                <w:b w:val="0"/>
                <w:i w:val="0"/>
                <w:sz w:val="16"/>
              </w:rPr>
              <w:t>NDA, DAEs and stakeholders have enhanced capacity on Concept Note and/or Funding Proposal development</w:t>
            </w:r>
          </w:p>
        </w:tc>
      </w:tr>
      <w:tr>
        <w:tc>
          <w:tcPr>
            <w:tcW w:type="dxa" w:w="6912"/>
            <w:tcW w:w="4680" w:type="dxa"/>
            <w:shd w:val="clear" w:fill="F2F2F2"/>
          </w:tcPr>
          <w:p>
            <w:r>
              <w:rPr>
                <w:rFonts w:ascii="Arial" w:hAnsi="Arial"/>
                <w:b w:val="0"/>
                <w:i w:val="0"/>
                <w:sz w:val="16"/>
              </w:rPr>
              <w:t xml:space="preserve">  Indicator / Unit</w:t>
            </w:r>
          </w:p>
        </w:tc>
        <w:tc>
          <w:tcPr>
            <w:tcW w:type="dxa" w:w="6912"/>
            <w:tcW w:w="9000" w:type="dxa"/>
          </w:tcPr>
          <w:p>
            <w:r>
              <w:rPr>
                <w:rFonts w:ascii="Arial" w:hAnsi="Arial"/>
                <w:b w:val="0"/>
                <w:i w:val="0"/>
                <w:sz w:val="16"/>
              </w:rPr>
              <w:t>Primary: number of studies, assessments and actions supporting investment-grade CNs/FPs; supplemental: project-preparation participants and percentage reporting enhanced capacity · No. of studies/actions; participants; percentage</w:t>
            </w:r>
          </w:p>
        </w:tc>
      </w:tr>
      <w:tr>
        <w:tc>
          <w:tcPr>
            <w:tcW w:type="dxa" w:w="6912"/>
            <w:tcW w:w="4680" w:type="dxa"/>
            <w:shd w:val="clear" w:fill="F2F2F2"/>
          </w:tcPr>
          <w:p>
            <w:r>
              <w:rPr>
                <w:rFonts w:ascii="Arial" w:hAnsi="Arial"/>
                <w:b w:val="0"/>
                <w:i w:val="0"/>
                <w:sz w:val="16"/>
              </w:rPr>
              <w:t xml:space="preserve">  Baseline / Target</w:t>
            </w:r>
          </w:p>
        </w:tc>
        <w:tc>
          <w:tcPr>
            <w:tcW w:type="dxa" w:w="6912"/>
            <w:tcW w:w="9000" w:type="dxa"/>
          </w:tcPr>
          <w:p>
            <w:r>
              <w:rPr>
                <w:rFonts w:ascii="Arial" w:hAnsi="Arial"/>
                <w:b w:val="0"/>
                <w:i w:val="0"/>
                <w:sz w:val="16"/>
              </w:rPr>
              <w:t>0 / ≥5 studies or assessments; 60 participants; ≥70% reporting enhanced capacity</w:t>
            </w:r>
          </w:p>
        </w:tc>
      </w:tr>
      <w:tr>
        <w:tc>
          <w:tcPr>
            <w:tcW w:type="dxa" w:w="6912"/>
            <w:tcW w:w="4680" w:type="dxa"/>
            <w:shd w:val="clear" w:fill="F2F2F2"/>
          </w:tcPr>
          <w:p>
            <w:r>
              <w:rPr>
                <w:rFonts w:ascii="Arial" w:hAnsi="Arial"/>
                <w:b w:val="0"/>
                <w:i w:val="0"/>
                <w:sz w:val="16"/>
              </w:rPr>
              <w:t>Output 2.2.2</w:t>
            </w:r>
          </w:p>
        </w:tc>
        <w:tc>
          <w:tcPr>
            <w:tcW w:type="dxa" w:w="6912"/>
            <w:tcW w:w="9000" w:type="dxa"/>
          </w:tcPr>
          <w:p>
            <w:r>
              <w:rPr>
                <w:rFonts w:ascii="Arial" w:hAnsi="Arial"/>
                <w:b w:val="0"/>
                <w:i w:val="0"/>
                <w:sz w:val="16"/>
              </w:rPr>
              <w:t>Investment-grade Concept Notes and submission-ready Funding Proposals aligned with national priorities; GCF screening status reported separately</w:t>
            </w:r>
          </w:p>
        </w:tc>
      </w:tr>
      <w:tr>
        <w:tc>
          <w:tcPr>
            <w:tcW w:type="dxa" w:w="6912"/>
            <w:tcW w:w="4680" w:type="dxa"/>
            <w:shd w:val="clear" w:fill="F2F2F2"/>
          </w:tcPr>
          <w:p>
            <w:r>
              <w:rPr>
                <w:rFonts w:ascii="Arial" w:hAnsi="Arial"/>
                <w:b w:val="0"/>
                <w:i w:val="0"/>
                <w:sz w:val="16"/>
              </w:rPr>
              <w:t xml:space="preserve">  Indicator / Unit</w:t>
            </w:r>
          </w:p>
        </w:tc>
        <w:tc>
          <w:tcPr>
            <w:tcW w:type="dxa" w:w="6912"/>
            <w:tcW w:w="9000" w:type="dxa"/>
          </w:tcPr>
          <w:p>
            <w:r>
              <w:rPr>
                <w:rFonts w:ascii="Arial" w:hAnsi="Arial"/>
                <w:b w:val="0"/>
                <w:i w:val="0"/>
                <w:sz w:val="16"/>
              </w:rPr>
              <w:t>Number of investment-grade CNs prepared and NDA-validated; number of submission-ready FPs prepared and NDA-validated · No. of CNs / No. of FPs</w:t>
            </w:r>
          </w:p>
        </w:tc>
      </w:tr>
      <w:tr>
        <w:tc>
          <w:tcPr>
            <w:tcW w:type="dxa" w:w="6912"/>
            <w:tcW w:w="4680" w:type="dxa"/>
            <w:shd w:val="clear" w:fill="F2F2F2"/>
          </w:tcPr>
          <w:p>
            <w:r>
              <w:rPr>
                <w:rFonts w:ascii="Arial" w:hAnsi="Arial"/>
                <w:b w:val="0"/>
                <w:i w:val="0"/>
                <w:sz w:val="16"/>
              </w:rPr>
              <w:t xml:space="preserve">  Baseline / Target</w:t>
            </w:r>
          </w:p>
        </w:tc>
        <w:tc>
          <w:tcPr>
            <w:tcW w:type="dxa" w:w="6912"/>
            <w:tcW w:w="9000" w:type="dxa"/>
          </w:tcPr>
          <w:p>
            <w:r>
              <w:rPr>
                <w:rFonts w:ascii="Arial" w:hAnsi="Arial"/>
                <w:b w:val="0"/>
                <w:i w:val="0"/>
                <w:sz w:val="16"/>
              </w:rPr>
              <w:t>0  /  5 Concept Notes and 3 Funding Proposals</w:t>
            </w:r>
          </w:p>
        </w:tc>
      </w:tr>
      <w:tr>
        <w:tc>
          <w:tcPr>
            <w:tcW w:type="dxa" w:w="6912"/>
            <w:tcW w:w="4680" w:type="dxa"/>
            <w:shd w:val="clear" w:fill="F2F2F2"/>
          </w:tcPr>
          <w:p>
            <w:r>
              <w:rPr>
                <w:rFonts w:ascii="Arial" w:hAnsi="Arial"/>
                <w:b w:val="0"/>
                <w:i w:val="0"/>
                <w:sz w:val="16"/>
              </w:rPr>
              <w:t xml:space="preserve">  Deliverables (tick)</w:t>
            </w:r>
          </w:p>
        </w:tc>
        <w:tc>
          <w:tcPr>
            <w:tcW w:type="dxa" w:w="6912"/>
            <w:tcW w:w="9000" w:type="dxa"/>
          </w:tcPr>
          <w:p>
            <w:r>
              <w:rPr>
                <w:rFonts w:ascii="Arial" w:hAnsi="Arial"/>
                <w:b w:val="0"/>
                <w:i w:val="0"/>
                <w:sz w:val="16"/>
              </w:rPr>
              <w:t>☒ D9 (5 CNs) · ☒ D10 (3 FPs)</w:t>
            </w:r>
          </w:p>
        </w:tc>
      </w:tr>
      <w:tr>
        <w:tc>
          <w:tcPr>
            <w:tcW w:type="dxa" w:w="6912"/>
            <w:tcW w:w="4680" w:type="dxa"/>
            <w:shd w:val="clear" w:fill="F2F2F2"/>
          </w:tcPr>
          <w:p>
            <w:r>
              <w:rPr>
                <w:rFonts w:ascii="Arial" w:hAnsi="Arial"/>
                <w:b w:val="0"/>
                <w:i w:val="0"/>
                <w:sz w:val="16"/>
              </w:rPr>
              <w:t>Outcome 2.3 (tick ☒)</w:t>
            </w:r>
          </w:p>
        </w:tc>
        <w:tc>
          <w:tcPr>
            <w:tcW w:type="dxa" w:w="6912"/>
            <w:tcW w:w="9000" w:type="dxa"/>
          </w:tcPr>
          <w:p>
            <w:r>
              <w:rPr>
                <w:rFonts w:ascii="Arial" w:hAnsi="Arial"/>
                <w:b w:val="0"/>
                <w:i w:val="0"/>
                <w:sz w:val="16"/>
              </w:rPr>
              <w:t>NDAs and DAEs have enhanced processes and systems to oversee implementation, financial management, monitoring and reporting</w:t>
            </w:r>
          </w:p>
        </w:tc>
      </w:tr>
      <w:tr>
        <w:tc>
          <w:tcPr>
            <w:tcW w:type="dxa" w:w="6912"/>
            <w:tcW w:w="4680" w:type="dxa"/>
            <w:shd w:val="clear" w:fill="F2F2F2"/>
          </w:tcPr>
          <w:p>
            <w:r>
              <w:rPr>
                <w:rFonts w:ascii="Arial" w:hAnsi="Arial"/>
                <w:b w:val="0"/>
                <w:i w:val="0"/>
                <w:sz w:val="16"/>
              </w:rPr>
              <w:t>Output 2.3.1</w:t>
            </w:r>
          </w:p>
        </w:tc>
        <w:tc>
          <w:tcPr>
            <w:tcW w:type="dxa" w:w="6912"/>
            <w:tcW w:w="9000" w:type="dxa"/>
          </w:tcPr>
          <w:p>
            <w:r>
              <w:rPr>
                <w:rFonts w:ascii="Arial" w:hAnsi="Arial"/>
                <w:b w:val="0"/>
                <w:i w:val="0"/>
                <w:sz w:val="16"/>
              </w:rPr>
              <w:t>NDA and DAEs have enhanced capacity, processes and systems to design, oversee and implement climate programmes/projects</w:t>
            </w:r>
          </w:p>
        </w:tc>
      </w:tr>
      <w:tr>
        <w:tc>
          <w:tcPr>
            <w:tcW w:type="dxa" w:w="6912"/>
            <w:tcW w:w="4680" w:type="dxa"/>
            <w:shd w:val="clear" w:fill="F2F2F2"/>
          </w:tcPr>
          <w:p>
            <w:r>
              <w:rPr>
                <w:rFonts w:ascii="Arial" w:hAnsi="Arial"/>
                <w:b w:val="0"/>
                <w:i w:val="0"/>
                <w:sz w:val="16"/>
              </w:rPr>
              <w:t xml:space="preserve">  Indicator / Unit</w:t>
            </w:r>
          </w:p>
        </w:tc>
        <w:tc>
          <w:tcPr>
            <w:tcW w:type="dxa" w:w="6912"/>
            <w:tcW w:w="9000" w:type="dxa"/>
          </w:tcPr>
          <w:p>
            <w:r>
              <w:rPr>
                <w:rFonts w:ascii="Arial" w:hAnsi="Arial"/>
                <w:b w:val="0"/>
                <w:i w:val="0"/>
                <w:sz w:val="16"/>
              </w:rPr>
              <w:t>Primary: number of institutions reporting enhanced processes and systems; supplemental: number of systems/process packages established or strengthened · No. of institutions; no. of systems/process packages</w:t>
            </w:r>
          </w:p>
        </w:tc>
      </w:tr>
      <w:tr>
        <w:tc>
          <w:tcPr>
            <w:tcW w:type="dxa" w:w="6912"/>
            <w:tcW w:w="4680" w:type="dxa"/>
            <w:shd w:val="clear" w:fill="F2F2F2"/>
          </w:tcPr>
          <w:p>
            <w:r>
              <w:rPr>
                <w:rFonts w:ascii="Arial" w:hAnsi="Arial"/>
                <w:b w:val="0"/>
                <w:i w:val="0"/>
                <w:sz w:val="16"/>
              </w:rPr>
              <w:t xml:space="preserve">  Baseline / Target</w:t>
            </w:r>
          </w:p>
        </w:tc>
        <w:tc>
          <w:tcPr>
            <w:tcW w:type="dxa" w:w="6912"/>
            <w:tcW w:w="9000" w:type="dxa"/>
          </w:tcPr>
          <w:p>
            <w:r>
              <w:rPr>
                <w:rFonts w:ascii="Arial" w:hAnsi="Arial"/>
                <w:b w:val="0"/>
                <w:i w:val="0"/>
                <w:sz w:val="16"/>
              </w:rPr>
              <w:t>0 / 3 institutions reporting enhanced capacity + 3 systems/process packages</w:t>
            </w:r>
          </w:p>
        </w:tc>
      </w:tr>
      <w:tr>
        <w:tc>
          <w:tcPr>
            <w:tcW w:type="dxa" w:w="6912"/>
            <w:tcW w:w="4680" w:type="dxa"/>
            <w:shd w:val="clear" w:fill="F2F2F2"/>
          </w:tcPr>
          <w:p>
            <w:r>
              <w:rPr>
                <w:rFonts w:ascii="Arial" w:hAnsi="Arial"/>
                <w:b w:val="0"/>
                <w:i w:val="0"/>
                <w:sz w:val="16"/>
              </w:rPr>
              <w:t xml:space="preserve">  Deliverables (tick)</w:t>
            </w:r>
          </w:p>
        </w:tc>
        <w:tc>
          <w:tcPr>
            <w:tcW w:type="dxa" w:w="6912"/>
            <w:tcW w:w="9000" w:type="dxa"/>
          </w:tcPr>
          <w:p>
            <w:r>
              <w:rPr>
                <w:rFonts w:ascii="Arial" w:hAnsi="Arial"/>
                <w:b w:val="0"/>
                <w:i w:val="0"/>
                <w:sz w:val="16"/>
              </w:rPr>
              <w:t>☒ D11</w:t>
            </w:r>
          </w:p>
        </w:tc>
      </w:tr>
      <w:tr>
        <w:tc>
          <w:tcPr>
            <w:tcW w:type="dxa" w:w="6912"/>
            <w:tcW w:w="4680" w:type="dxa"/>
            <w:shd w:val="clear" w:fill="F2F2F2"/>
          </w:tcPr>
          <w:p>
            <w:r>
              <w:rPr>
                <w:rFonts w:ascii="Arial" w:hAnsi="Arial"/>
                <w:b w:val="0"/>
                <w:i w:val="0"/>
                <w:sz w:val="16"/>
              </w:rPr>
              <w:t>Objective 3 (dropdown)</w:t>
            </w:r>
          </w:p>
        </w:tc>
        <w:tc>
          <w:tcPr>
            <w:tcW w:type="dxa" w:w="6912"/>
            <w:tcW w:w="9000" w:type="dxa"/>
          </w:tcPr>
          <w:p>
            <w:r>
              <w:rPr>
                <w:rFonts w:ascii="Arial" w:hAnsi="Arial"/>
                <w:b w:val="0"/>
                <w:i w:val="0"/>
                <w:sz w:val="16"/>
              </w:rPr>
              <w:t>Knowledge-sharing and learning to enhance national and regional cooperation on climate programming and financing</w:t>
            </w:r>
          </w:p>
        </w:tc>
      </w:tr>
      <w:tr>
        <w:tc>
          <w:tcPr>
            <w:tcW w:type="dxa" w:w="6912"/>
            <w:tcW w:w="4680" w:type="dxa"/>
            <w:shd w:val="clear" w:fill="F2F2F2"/>
          </w:tcPr>
          <w:p>
            <w:r>
              <w:rPr>
                <w:rFonts w:ascii="Arial" w:hAnsi="Arial"/>
                <w:b w:val="0"/>
                <w:i w:val="0"/>
                <w:sz w:val="16"/>
              </w:rPr>
              <w:t>Outcome 3.1 (tick ☒)</w:t>
            </w:r>
          </w:p>
        </w:tc>
        <w:tc>
          <w:tcPr>
            <w:tcW w:type="dxa" w:w="6912"/>
            <w:tcW w:w="9000" w:type="dxa"/>
          </w:tcPr>
          <w:p>
            <w:r>
              <w:rPr>
                <w:rFonts w:ascii="Arial" w:hAnsi="Arial"/>
                <w:b w:val="0"/>
                <w:i w:val="0"/>
                <w:sz w:val="16"/>
              </w:rPr>
              <w:t>Developing countries have made use of knowledge products to address policy gaps</w:t>
            </w:r>
          </w:p>
        </w:tc>
      </w:tr>
      <w:tr>
        <w:tc>
          <w:tcPr>
            <w:tcW w:type="dxa" w:w="6912"/>
            <w:tcW w:w="4680" w:type="dxa"/>
            <w:shd w:val="clear" w:fill="F2F2F2"/>
          </w:tcPr>
          <w:p>
            <w:r>
              <w:rPr>
                <w:rFonts w:ascii="Arial" w:hAnsi="Arial"/>
                <w:b w:val="0"/>
                <w:i w:val="0"/>
                <w:sz w:val="16"/>
              </w:rPr>
              <w:t>Output 3.1.1</w:t>
            </w:r>
          </w:p>
        </w:tc>
        <w:tc>
          <w:tcPr>
            <w:tcW w:type="dxa" w:w="6912"/>
            <w:tcW w:w="9000" w:type="dxa"/>
          </w:tcPr>
          <w:p>
            <w:r>
              <w:rPr>
                <w:rFonts w:ascii="Arial" w:hAnsi="Arial"/>
                <w:b w:val="0"/>
                <w:i w:val="0"/>
                <w:sz w:val="16"/>
              </w:rPr>
              <w:t>Climate knowledge products and resources are generated and disseminated</w:t>
            </w:r>
          </w:p>
        </w:tc>
      </w:tr>
      <w:tr>
        <w:tc>
          <w:tcPr>
            <w:tcW w:type="dxa" w:w="6912"/>
            <w:tcW w:w="4680" w:type="dxa"/>
            <w:shd w:val="clear" w:fill="F2F2F2"/>
          </w:tcPr>
          <w:p>
            <w:r>
              <w:rPr>
                <w:rFonts w:ascii="Arial" w:hAnsi="Arial"/>
                <w:b w:val="0"/>
                <w:i w:val="0"/>
                <w:sz w:val="16"/>
              </w:rPr>
              <w:t xml:space="preserve">  Indicator / Unit</w:t>
            </w:r>
          </w:p>
        </w:tc>
        <w:tc>
          <w:tcPr>
            <w:tcW w:type="dxa" w:w="6912"/>
            <w:tcW w:w="9000" w:type="dxa"/>
          </w:tcPr>
          <w:p>
            <w:r>
              <w:rPr>
                <w:rFonts w:ascii="Arial" w:hAnsi="Arial"/>
                <w:b w:val="0"/>
                <w:i w:val="0"/>
                <w:sz w:val="16"/>
              </w:rPr>
              <w:t>Number of knowledge products produced and disseminated  ·  No. of Knowledge Products</w:t>
            </w:r>
          </w:p>
        </w:tc>
      </w:tr>
      <w:tr>
        <w:tc>
          <w:tcPr>
            <w:tcW w:type="dxa" w:w="6912"/>
            <w:tcW w:w="4680" w:type="dxa"/>
            <w:shd w:val="clear" w:fill="F2F2F2"/>
          </w:tcPr>
          <w:p>
            <w:r>
              <w:rPr>
                <w:rFonts w:ascii="Arial" w:hAnsi="Arial"/>
                <w:b w:val="0"/>
                <w:i w:val="0"/>
                <w:sz w:val="16"/>
              </w:rPr>
              <w:t xml:space="preserve">  Baseline / Target</w:t>
            </w:r>
          </w:p>
        </w:tc>
        <w:tc>
          <w:tcPr>
            <w:tcW w:type="dxa" w:w="6912"/>
            <w:tcW w:w="9000" w:type="dxa"/>
          </w:tcPr>
          <w:p>
            <w:r>
              <w:rPr>
                <w:rFonts w:ascii="Arial" w:hAnsi="Arial"/>
                <w:b w:val="0"/>
                <w:i w:val="0"/>
                <w:sz w:val="16"/>
              </w:rPr>
              <w:t>0 / ≥5 knowledge products or resources</w:t>
            </w:r>
          </w:p>
        </w:tc>
      </w:tr>
      <w:tr>
        <w:tc>
          <w:tcPr>
            <w:tcW w:type="dxa" w:w="6912"/>
            <w:tcW w:w="4680" w:type="dxa"/>
            <w:shd w:val="clear" w:fill="F2F2F2"/>
          </w:tcPr>
          <w:p>
            <w:r>
              <w:rPr>
                <w:rFonts w:ascii="Arial" w:hAnsi="Arial"/>
                <w:b w:val="0"/>
                <w:i w:val="0"/>
                <w:sz w:val="16"/>
              </w:rPr>
              <w:t xml:space="preserve">  Deliverables (tick)</w:t>
            </w:r>
          </w:p>
        </w:tc>
        <w:tc>
          <w:tcPr>
            <w:tcW w:type="dxa" w:w="6912"/>
            <w:tcW w:w="9000" w:type="dxa"/>
          </w:tcPr>
          <w:p>
            <w:r>
              <w:rPr>
                <w:rFonts w:ascii="Arial" w:hAnsi="Arial"/>
                <w:b w:val="0"/>
                <w:i w:val="0"/>
                <w:sz w:val="16"/>
              </w:rPr>
              <w:t>☒ D12 · ☒ D13</w:t>
            </w:r>
          </w:p>
        </w:tc>
      </w:tr>
      <w:tr>
        <w:tc>
          <w:tcPr>
            <w:tcW w:type="dxa" w:w="6912"/>
            <w:tcW w:w="4680" w:type="dxa"/>
            <w:shd w:val="clear" w:fill="F2F2F2"/>
          </w:tcPr>
          <w:p>
            <w:r>
              <w:rPr>
                <w:rFonts w:ascii="Arial" w:hAnsi="Arial"/>
                <w:b w:val="0"/>
                <w:i w:val="0"/>
                <w:sz w:val="16"/>
              </w:rPr>
              <w:t>Outcome 3.2 (tick ☒)</w:t>
            </w:r>
          </w:p>
        </w:tc>
        <w:tc>
          <w:tcPr>
            <w:tcW w:type="dxa" w:w="6912"/>
            <w:tcW w:w="9000" w:type="dxa"/>
          </w:tcPr>
          <w:p>
            <w:r>
              <w:rPr>
                <w:rFonts w:ascii="Arial" w:hAnsi="Arial"/>
                <w:b w:val="0"/>
                <w:i w:val="0"/>
                <w:sz w:val="16"/>
              </w:rPr>
              <w:t>Enhanced collaboration among developing countries — transboundary/regional/South-South cooperation</w:t>
            </w:r>
          </w:p>
        </w:tc>
      </w:tr>
      <w:tr>
        <w:tc>
          <w:tcPr>
            <w:tcW w:type="dxa" w:w="6912"/>
            <w:tcW w:w="4680" w:type="dxa"/>
            <w:shd w:val="clear" w:fill="F2F2F2"/>
          </w:tcPr>
          <w:p>
            <w:r>
              <w:rPr>
                <w:rFonts w:ascii="Arial" w:hAnsi="Arial"/>
                <w:b w:val="0"/>
                <w:i w:val="0"/>
                <w:sz w:val="16"/>
              </w:rPr>
              <w:t>Output 3.2.1</w:t>
            </w:r>
          </w:p>
        </w:tc>
        <w:tc>
          <w:tcPr>
            <w:tcW w:type="dxa" w:w="6912"/>
            <w:tcW w:w="9000" w:type="dxa"/>
          </w:tcPr>
          <w:p>
            <w:r>
              <w:rPr>
                <w:rFonts w:ascii="Arial" w:hAnsi="Arial"/>
                <w:b w:val="0"/>
                <w:i w:val="0"/>
                <w:sz w:val="16"/>
              </w:rPr>
              <w:t>Regional or South-South partnerships, programmes, policies, MOUs and/or collaboration mechanisms established</w:t>
            </w:r>
          </w:p>
        </w:tc>
      </w:tr>
      <w:tr>
        <w:tc>
          <w:tcPr>
            <w:tcW w:type="dxa" w:w="6912"/>
            <w:tcW w:w="4680" w:type="dxa"/>
            <w:shd w:val="clear" w:fill="F2F2F2"/>
          </w:tcPr>
          <w:p>
            <w:r>
              <w:rPr>
                <w:rFonts w:ascii="Arial" w:hAnsi="Arial"/>
                <w:b w:val="0"/>
                <w:i w:val="0"/>
                <w:sz w:val="16"/>
              </w:rPr>
              <w:t xml:space="preserve">  Indicator / Unit</w:t>
            </w:r>
          </w:p>
        </w:tc>
        <w:tc>
          <w:tcPr>
            <w:tcW w:type="dxa" w:w="6912"/>
            <w:tcW w:w="9000" w:type="dxa"/>
          </w:tcPr>
          <w:p>
            <w:r>
              <w:rPr>
                <w:rFonts w:ascii="Arial" w:hAnsi="Arial"/>
                <w:b w:val="0"/>
                <w:i w:val="0"/>
                <w:sz w:val="16"/>
              </w:rPr>
              <w:t>Number of regional/South-South partnerships or mechanisms established  ·  No. of Partnerships</w:t>
            </w:r>
          </w:p>
        </w:tc>
      </w:tr>
      <w:tr>
        <w:tc>
          <w:tcPr>
            <w:tcW w:type="dxa" w:w="6912"/>
            <w:tcW w:w="4680" w:type="dxa"/>
            <w:shd w:val="clear" w:fill="F2F2F2"/>
          </w:tcPr>
          <w:p>
            <w:r>
              <w:rPr>
                <w:rFonts w:ascii="Arial" w:hAnsi="Arial"/>
                <w:b w:val="0"/>
                <w:i w:val="0"/>
                <w:sz w:val="16"/>
              </w:rPr>
              <w:t xml:space="preserve">  Baseline / Target</w:t>
            </w:r>
          </w:p>
        </w:tc>
        <w:tc>
          <w:tcPr>
            <w:tcW w:type="dxa" w:w="6912"/>
            <w:tcW w:w="9000" w:type="dxa"/>
          </w:tcPr>
          <w:p>
            <w:r>
              <w:rPr>
                <w:rFonts w:ascii="Arial" w:hAnsi="Arial"/>
                <w:b w:val="0"/>
                <w:i w:val="0"/>
                <w:sz w:val="16"/>
              </w:rPr>
              <w:t>0  /  2  (Morocco, Senegal)</w:t>
            </w:r>
          </w:p>
        </w:tc>
      </w:tr>
      <w:tr>
        <w:tc>
          <w:tcPr>
            <w:tcW w:type="dxa" w:w="6912"/>
            <w:tcW w:w="4680" w:type="dxa"/>
            <w:shd w:val="clear" w:fill="F2F2F2"/>
          </w:tcPr>
          <w:p>
            <w:r>
              <w:rPr>
                <w:rFonts w:ascii="Arial" w:hAnsi="Arial"/>
                <w:b w:val="0"/>
                <w:i w:val="0"/>
                <w:sz w:val="16"/>
              </w:rPr>
              <w:t xml:space="preserve">  Deliverables (tick)</w:t>
            </w:r>
          </w:p>
        </w:tc>
        <w:tc>
          <w:tcPr>
            <w:tcW w:type="dxa" w:w="6912"/>
            <w:tcW w:w="9000" w:type="dxa"/>
          </w:tcPr>
          <w:p>
            <w:r>
              <w:rPr>
                <w:rFonts w:ascii="Arial" w:hAnsi="Arial"/>
                <w:b w:val="0"/>
                <w:i w:val="0"/>
                <w:sz w:val="16"/>
              </w:rPr>
              <w:t>☒ D14</w:t>
            </w:r>
          </w:p>
        </w:tc>
      </w:tr>
    </w:tbl>
    <w:p>
      <w:r>
        <w:br w:type="page"/>
      </w:r>
    </w:p>
    <w:p>
      <w:pPr>
        <w:spacing w:after="120"/>
      </w:pPr>
      <w:r>
        <w:rPr>
          <w:b/>
          <w:i w:val="0"/>
          <w:color w:val="1F3864"/>
          <w:sz w:val="28"/>
        </w:rPr>
        <w:t>C.  Comment-by-comment response matrix</w:t>
      </w:r>
    </w:p>
    <w:tbl>
      <w:tblPr>
        <w:tblStyle w:val="TableGrid"/>
        <w:tblW w:type="auto" w:w="0"/>
        <w:tblLook w:firstColumn="1" w:firstRow="1" w:lastColumn="0" w:lastRow="0" w:noHBand="0" w:noVBand="1" w:val="04A0"/>
      </w:tblPr>
      <w:tblGrid>
        <w:gridCol w:w="3456"/>
        <w:gridCol w:w="3456"/>
        <w:gridCol w:w="3456"/>
        <w:gridCol w:w="3456"/>
      </w:tblGrid>
      <w:tr>
        <w:tc>
          <w:tcPr>
            <w:tcW w:type="dxa" w:w="3456"/>
            <w:tcW w:w="1500" w:type="dxa"/>
            <w:shd w:val="clear" w:fill="1F3864"/>
          </w:tcPr>
          <w:p>
            <w:r>
              <w:rPr>
                <w:b/>
                <w:color w:val="FFFFFF"/>
                <w:sz w:val="18"/>
              </w:rPr>
              <w:t>Tab</w:t>
            </w:r>
          </w:p>
        </w:tc>
        <w:tc>
          <w:tcPr>
            <w:tcW w:type="dxa" w:w="3456"/>
            <w:tcW w:w="3900" w:type="dxa"/>
            <w:shd w:val="clear" w:fill="1F3864"/>
          </w:tcPr>
          <w:p>
            <w:r>
              <w:rPr>
                <w:b/>
                <w:color w:val="FFFFFF"/>
                <w:sz w:val="18"/>
              </w:rPr>
              <w:t>His instruction</w:t>
            </w:r>
          </w:p>
        </w:tc>
        <w:tc>
          <w:tcPr>
            <w:tcW w:type="dxa" w:w="3456"/>
            <w:tcW w:w="6180" w:type="dxa"/>
            <w:shd w:val="clear" w:fill="1F3864"/>
          </w:tcPr>
          <w:p>
            <w:r>
              <w:rPr>
                <w:b/>
                <w:color w:val="FFFFFF"/>
                <w:sz w:val="18"/>
              </w:rPr>
              <w:t>What was changed</w:t>
            </w:r>
          </w:p>
        </w:tc>
        <w:tc>
          <w:tcPr>
            <w:tcW w:type="dxa" w:w="3456"/>
            <w:tcW w:w="2100" w:type="dxa"/>
            <w:shd w:val="clear" w:fill="1F3864"/>
          </w:tcPr>
          <w:p>
            <w:r>
              <w:rPr>
                <w:b/>
                <w:color w:val="FFFFFF"/>
                <w:sz w:val="18"/>
              </w:rPr>
              <w:t>Assumption / flag</w:t>
            </w:r>
          </w:p>
        </w:tc>
      </w:tr>
      <w:tr>
        <w:tc>
          <w:tcPr>
            <w:tcW w:type="dxa" w:w="3456"/>
            <w:tcW w:w="1500" w:type="dxa"/>
            <w:shd w:val="clear" w:fill="F2F2F2"/>
          </w:tcPr>
          <w:p>
            <w:r>
              <w:rPr>
                <w:rFonts w:ascii="Arial" w:hAnsi="Arial"/>
                <w:b w:val="0"/>
                <w:i w:val="0"/>
                <w:sz w:val="15"/>
              </w:rPr>
              <w:t>Impl. Plan</w:t>
            </w:r>
          </w:p>
        </w:tc>
        <w:tc>
          <w:tcPr>
            <w:tcW w:type="dxa" w:w="3456"/>
            <w:tcW w:w="3900" w:type="dxa"/>
          </w:tcPr>
          <w:p>
            <w:r>
              <w:rPr>
                <w:rFonts w:ascii="Arial" w:hAnsi="Arial"/>
                <w:b w:val="0"/>
                <w:i w:val="0"/>
                <w:sz w:val="15"/>
              </w:rPr>
              <w:t>Apply distinct colour-coding to activities, deliverables and milestones so each category is visually separable.</w:t>
            </w:r>
          </w:p>
        </w:tc>
        <w:tc>
          <w:tcPr>
            <w:tcW w:type="dxa" w:w="3456"/>
            <w:tcW w:w="6180" w:type="dxa"/>
          </w:tcPr>
          <w:p>
            <w:r>
              <w:rPr>
                <w:rFonts w:ascii="Arial" w:hAnsi="Arial"/>
                <w:b w:val="0"/>
                <w:i w:val="0"/>
                <w:sz w:val="15"/>
              </w:rPr>
              <w:t>Legend colour-coded (Activity = blue, Deliverable = green, Milestone = amber). All markers are aligned to the confirmed 36-month period; Year 4 is marked not applicable.</w:t>
            </w:r>
          </w:p>
        </w:tc>
        <w:tc>
          <w:tcPr>
            <w:tcW w:type="dxa" w:w="3456"/>
            <w:tcW w:w="2100" w:type="dxa"/>
          </w:tcPr>
          <w:p>
            <w:r>
              <w:rPr>
                <w:rFonts w:ascii="Arial" w:hAnsi="Arial"/>
                <w:b w:val="0"/>
                <w:i w:val="0"/>
                <w:sz w:val="15"/>
              </w:rPr>
              <w:t>Timeline and disbursement phasing aligned to Years 1-3.</w:t>
            </w:r>
          </w:p>
        </w:tc>
      </w:tr>
      <w:tr>
        <w:tc>
          <w:tcPr>
            <w:tcW w:type="dxa" w:w="3456"/>
            <w:tcW w:w="1500" w:type="dxa"/>
            <w:shd w:val="clear" w:fill="F2F2F2"/>
          </w:tcPr>
          <w:p>
            <w:r>
              <w:rPr>
                <w:rFonts w:ascii="Arial" w:hAnsi="Arial"/>
                <w:b w:val="0"/>
                <w:i w:val="0"/>
                <w:sz w:val="15"/>
              </w:rPr>
              <w:t>Budget Plan</w:t>
            </w:r>
          </w:p>
        </w:tc>
        <w:tc>
          <w:tcPr>
            <w:tcW w:type="dxa" w:w="3456"/>
            <w:tcW w:w="3900" w:type="dxa"/>
          </w:tcPr>
          <w:p>
            <w:r>
              <w:rPr>
                <w:rFonts w:ascii="Arial" w:hAnsi="Arial"/>
                <w:b w:val="0"/>
                <w:i w:val="0"/>
                <w:sz w:val="15"/>
              </w:rPr>
              <w:t>Add the missing milestones so each deliverable’s budget is justified against a milestone.</w:t>
            </w:r>
          </w:p>
        </w:tc>
        <w:tc>
          <w:tcPr>
            <w:tcW w:type="dxa" w:w="3456"/>
            <w:tcW w:w="6180" w:type="dxa"/>
          </w:tcPr>
          <w:p>
            <w:r>
              <w:rPr>
                <w:rFonts w:ascii="Arial" w:hAnsi="Arial"/>
                <w:b w:val="0"/>
                <w:i w:val="0"/>
                <w:sz w:val="15"/>
              </w:rPr>
              <w:t>Named milestones added for D1–D14 in the Milestones column (e.g. M2.1 Platform established; M10.2 three FPs prepared). D8 left without a milestone (removed).</w:t>
            </w:r>
          </w:p>
        </w:tc>
        <w:tc>
          <w:tcPr>
            <w:tcW w:type="dxa" w:w="3456"/>
            <w:tcW w:w="2100" w:type="dxa"/>
          </w:tcPr>
          <w:p>
            <w:r>
              <w:rPr>
                <w:rFonts w:ascii="Arial" w:hAnsi="Arial"/>
                <w:b w:val="0"/>
                <w:i w:val="0"/>
                <w:sz w:val="15"/>
              </w:rPr>
              <w:t>Milestone titles derived from the Implementation-Plan activities.</w:t>
            </w:r>
          </w:p>
        </w:tc>
      </w:tr>
      <w:tr>
        <w:tc>
          <w:tcPr>
            <w:tcW w:type="dxa" w:w="3456"/>
            <w:tcW w:w="1500" w:type="dxa"/>
            <w:shd w:val="clear" w:fill="F2F2F2"/>
          </w:tcPr>
          <w:p>
            <w:r>
              <w:rPr>
                <w:rFonts w:ascii="Arial" w:hAnsi="Arial"/>
                <w:b w:val="0"/>
                <w:i w:val="0"/>
                <w:sz w:val="15"/>
              </w:rPr>
              <w:t>Budget Plan</w:t>
            </w:r>
          </w:p>
        </w:tc>
        <w:tc>
          <w:tcPr>
            <w:tcW w:type="dxa" w:w="3456"/>
            <w:tcW w:w="3900" w:type="dxa"/>
          </w:tcPr>
          <w:p>
            <w:r>
              <w:rPr>
                <w:rFonts w:ascii="Arial" w:hAnsi="Arial"/>
                <w:b w:val="0"/>
                <w:i w:val="0"/>
                <w:sz w:val="15"/>
              </w:rPr>
              <w:t>Set the local consultant rate to USD 350/day in every deliverable.</w:t>
            </w:r>
          </w:p>
        </w:tc>
        <w:tc>
          <w:tcPr>
            <w:tcW w:type="dxa" w:w="3456"/>
            <w:tcW w:w="6180" w:type="dxa"/>
          </w:tcPr>
          <w:p>
            <w:r>
              <w:rPr>
                <w:rFonts w:ascii="Arial" w:hAnsi="Arial"/>
                <w:b w:val="0"/>
                <w:i w:val="0"/>
                <w:sz w:val="15"/>
              </w:rPr>
              <w:t>All ‘Consultant – Individual – Local’ deliverable lines set to USD 350/day (was 400 in several lines). Verified: 0 local lines off-350.</w:t>
            </w:r>
          </w:p>
        </w:tc>
        <w:tc>
          <w:tcPr>
            <w:tcW w:type="dxa" w:w="3456"/>
            <w:tcW w:w="2100" w:type="dxa"/>
          </w:tcPr>
          <w:p>
            <w:r>
              <w:rPr>
                <w:rFonts w:ascii="Arial" w:hAnsi="Arial"/>
                <w:b w:val="0"/>
                <w:i w:val="0"/>
                <w:sz w:val="15"/>
              </w:rPr>
              <w:t>PMC coordinator is a monthly rate (USD 4,000/mo), distinct from the 350/day deliverable rate.</w:t>
            </w:r>
          </w:p>
        </w:tc>
      </w:tr>
      <w:tr>
        <w:tc>
          <w:tcPr>
            <w:tcW w:type="dxa" w:w="3456"/>
            <w:tcW w:w="1500" w:type="dxa"/>
            <w:shd w:val="clear" w:fill="F2F2F2"/>
          </w:tcPr>
          <w:p>
            <w:r>
              <w:rPr>
                <w:rFonts w:ascii="Arial" w:hAnsi="Arial"/>
                <w:b w:val="0"/>
                <w:i w:val="0"/>
                <w:sz w:val="15"/>
              </w:rPr>
              <w:t>Budget Plan</w:t>
            </w:r>
          </w:p>
        </w:tc>
        <w:tc>
          <w:tcPr>
            <w:tcW w:type="dxa" w:w="3456"/>
            <w:tcW w:w="3900" w:type="dxa"/>
          </w:tcPr>
          <w:p>
            <w:r>
              <w:rPr>
                <w:rFonts w:ascii="Arial" w:hAnsi="Arial"/>
                <w:b w:val="0"/>
                <w:i w:val="0"/>
                <w:sz w:val="15"/>
              </w:rPr>
              <w:t>Rebalance so the total per objective is Obj1 30% / Obj2 60% / Obj3 10%.</w:t>
            </w:r>
          </w:p>
        </w:tc>
        <w:tc>
          <w:tcPr>
            <w:tcW w:type="dxa" w:w="3456"/>
            <w:tcW w:w="6180" w:type="dxa"/>
          </w:tcPr>
          <w:p>
            <w:r>
              <w:rPr>
                <w:rFonts w:ascii="Arial" w:hAnsi="Arial"/>
                <w:b w:val="0"/>
                <w:i w:val="0"/>
                <w:sz w:val="15"/>
              </w:rPr>
              <w:t>Deliverable budgets set to USD 660,000 / 1,320,000 / 220,000 = exactly 30/60/10. Obj1 trimmed (esp. D1, D7 — GIN-RS-003 duplication), Obj2 strengthened via D11, Obj3 lightly trimmed.</w:t>
            </w:r>
          </w:p>
        </w:tc>
        <w:tc>
          <w:tcPr>
            <w:tcW w:type="dxa" w:w="3456"/>
            <w:tcW w:w="2100" w:type="dxa"/>
          </w:tcPr>
          <w:p>
            <w:r>
              <w:rPr>
                <w:rFonts w:ascii="Arial" w:hAnsi="Arial"/>
                <w:b w:val="0"/>
                <w:i w:val="0"/>
                <w:sz w:val="15"/>
              </w:rPr>
              <w:t>Quantities/lump sums adjusted to land on shares; D9/D10 kept at agreed amounts.</w:t>
            </w:r>
          </w:p>
        </w:tc>
      </w:tr>
      <w:tr>
        <w:tc>
          <w:tcPr>
            <w:tcW w:type="dxa" w:w="3456"/>
            <w:tcW w:w="1500" w:type="dxa"/>
            <w:shd w:val="clear" w:fill="F2F2F2"/>
          </w:tcPr>
          <w:p>
            <w:r>
              <w:rPr>
                <w:rFonts w:ascii="Arial" w:hAnsi="Arial"/>
                <w:b w:val="0"/>
                <w:i w:val="0"/>
                <w:sz w:val="15"/>
              </w:rPr>
              <w:t>Budget Plan</w:t>
            </w:r>
          </w:p>
        </w:tc>
        <w:tc>
          <w:tcPr>
            <w:tcW w:type="dxa" w:w="3456"/>
            <w:tcW w:w="3900" w:type="dxa"/>
          </w:tcPr>
          <w:p>
            <w:r>
              <w:rPr>
                <w:rFonts w:ascii="Arial" w:hAnsi="Arial"/>
                <w:b w:val="0"/>
                <w:i w:val="0"/>
                <w:sz w:val="15"/>
              </w:rPr>
              <w:t>Enforce PMC ≤ 7.5% of the total.</w:t>
            </w:r>
          </w:p>
        </w:tc>
        <w:tc>
          <w:tcPr>
            <w:tcW w:type="dxa" w:w="3456"/>
            <w:tcW w:w="6180" w:type="dxa"/>
          </w:tcPr>
          <w:p>
            <w:r>
              <w:rPr>
                <w:rFonts w:ascii="Arial" w:hAnsi="Arial"/>
                <w:b w:val="0"/>
                <w:i w:val="0"/>
                <w:sz w:val="15"/>
              </w:rPr>
              <w:t>PMC set to USD 168,000 = 7.43% of the deliverables + evaluation base (audit 15,000; coordinator 144,000; FM/reporting 9,000). Max-PMC cell updated from 5% to the 7.5% threshold.</w:t>
            </w:r>
          </w:p>
        </w:tc>
        <w:tc>
          <w:tcPr>
            <w:tcW w:type="dxa" w:w="3456"/>
            <w:tcW w:w="2100" w:type="dxa"/>
          </w:tcPr>
          <w:p>
            <w:r>
              <w:rPr>
                <w:rFonts w:ascii="Arial" w:hAnsi="Arial"/>
                <w:b w:val="0"/>
                <w:i w:val="0"/>
                <w:sz w:val="15"/>
              </w:rPr>
              <w:t>—</w:t>
            </w:r>
          </w:p>
        </w:tc>
      </w:tr>
      <w:tr>
        <w:tc>
          <w:tcPr>
            <w:tcW w:type="dxa" w:w="3456"/>
            <w:tcW w:w="1500" w:type="dxa"/>
            <w:shd w:val="clear" w:fill="F2F2F2"/>
          </w:tcPr>
          <w:p>
            <w:r>
              <w:rPr>
                <w:rFonts w:ascii="Arial" w:hAnsi="Arial"/>
                <w:b w:val="0"/>
                <w:i w:val="0"/>
                <w:sz w:val="15"/>
              </w:rPr>
              <w:t>Budget Plan</w:t>
            </w:r>
          </w:p>
        </w:tc>
        <w:tc>
          <w:tcPr>
            <w:tcW w:type="dxa" w:w="3456"/>
            <w:tcW w:w="3900" w:type="dxa"/>
          </w:tcPr>
          <w:p>
            <w:r>
              <w:rPr>
                <w:rFonts w:ascii="Arial" w:hAnsi="Arial"/>
                <w:b w:val="0"/>
                <w:i w:val="0"/>
                <w:sz w:val="15"/>
              </w:rPr>
              <w:t>Leave row D8 blank; do not delete it; restore column L if broken.</w:t>
            </w:r>
          </w:p>
        </w:tc>
        <w:tc>
          <w:tcPr>
            <w:tcW w:type="dxa" w:w="3456"/>
            <w:tcW w:w="6180" w:type="dxa"/>
          </w:tcPr>
          <w:p>
            <w:r>
              <w:rPr>
                <w:rFonts w:ascii="Arial" w:hAnsi="Arial"/>
                <w:b w:val="0"/>
                <w:i w:val="0"/>
                <w:sz w:val="15"/>
              </w:rPr>
              <w:t>D8 rows kept with blank budget cells; milestone cell cleared; Note G reference added. Column L intact (L36 = SUM(J36:J51)); Objective 2 total unaffected.</w:t>
            </w:r>
          </w:p>
        </w:tc>
        <w:tc>
          <w:tcPr>
            <w:tcW w:type="dxa" w:w="3456"/>
            <w:tcW w:w="2100" w:type="dxa"/>
          </w:tcPr>
          <w:p>
            <w:r>
              <w:rPr>
                <w:rFonts w:ascii="Arial" w:hAnsi="Arial"/>
                <w:b w:val="0"/>
                <w:i w:val="0"/>
                <w:sz w:val="15"/>
              </w:rPr>
              <w:t>—</w:t>
            </w:r>
          </w:p>
        </w:tc>
      </w:tr>
      <w:tr>
        <w:tc>
          <w:tcPr>
            <w:tcW w:type="dxa" w:w="3456"/>
            <w:tcW w:w="1500" w:type="dxa"/>
            <w:shd w:val="clear" w:fill="F2F2F2"/>
          </w:tcPr>
          <w:p>
            <w:r>
              <w:rPr>
                <w:rFonts w:ascii="Arial" w:hAnsi="Arial"/>
                <w:b w:val="0"/>
                <w:i w:val="0"/>
                <w:sz w:val="15"/>
              </w:rPr>
              <w:t>Budget Category</w:t>
            </w:r>
          </w:p>
        </w:tc>
        <w:tc>
          <w:tcPr>
            <w:tcW w:type="dxa" w:w="3456"/>
            <w:tcW w:w="3900" w:type="dxa"/>
          </w:tcPr>
          <w:p>
            <w:r>
              <w:rPr>
                <w:rFonts w:ascii="Arial" w:hAnsi="Arial"/>
                <w:b w:val="0"/>
                <w:i w:val="0"/>
                <w:sz w:val="15"/>
              </w:rPr>
              <w:t>Add categories if the existing set is insufficient; reference consistently.</w:t>
            </w:r>
          </w:p>
        </w:tc>
        <w:tc>
          <w:tcPr>
            <w:tcW w:type="dxa" w:w="3456"/>
            <w:tcW w:w="6180" w:type="dxa"/>
          </w:tcPr>
          <w:p>
            <w:r>
              <w:rPr>
                <w:rFonts w:ascii="Arial" w:hAnsi="Arial"/>
                <w:b w:val="0"/>
                <w:i w:val="0"/>
                <w:sz w:val="15"/>
              </w:rPr>
              <w:t>Existing 10 categories cover every line; none added. All lines use exact category strings; the SUMIF category summary ties to USD 2,200,000.</w:t>
            </w:r>
          </w:p>
        </w:tc>
        <w:tc>
          <w:tcPr>
            <w:tcW w:type="dxa" w:w="3456"/>
            <w:tcW w:w="2100" w:type="dxa"/>
          </w:tcPr>
          <w:p>
            <w:r>
              <w:rPr>
                <w:rFonts w:ascii="Arial" w:hAnsi="Arial"/>
                <w:b w:val="0"/>
                <w:i w:val="0"/>
                <w:sz w:val="15"/>
              </w:rPr>
              <w:t>Existing categories sufficient.</w:t>
            </w:r>
          </w:p>
        </w:tc>
      </w:tr>
      <w:tr>
        <w:tc>
          <w:tcPr>
            <w:tcW w:type="dxa" w:w="3456"/>
            <w:tcW w:w="1500" w:type="dxa"/>
            <w:shd w:val="clear" w:fill="F2F2F2"/>
          </w:tcPr>
          <w:p>
            <w:r>
              <w:rPr>
                <w:rFonts w:ascii="Arial" w:hAnsi="Arial"/>
                <w:b w:val="0"/>
                <w:i w:val="0"/>
                <w:sz w:val="15"/>
              </w:rPr>
              <w:t>Disbursement</w:t>
            </w:r>
          </w:p>
        </w:tc>
        <w:tc>
          <w:tcPr>
            <w:tcW w:type="dxa" w:w="3456"/>
            <w:tcW w:w="3900" w:type="dxa"/>
          </w:tcPr>
          <w:p>
            <w:r>
              <w:rPr>
                <w:rFonts w:ascii="Arial" w:hAnsi="Arial"/>
                <w:b w:val="0"/>
                <w:i w:val="0"/>
                <w:sz w:val="15"/>
              </w:rPr>
              <w:t>Under each D1, D2… insert the specific deliverable name and its % of the work; do not alter the cumulative column.</w:t>
            </w:r>
          </w:p>
        </w:tc>
        <w:tc>
          <w:tcPr>
            <w:tcW w:type="dxa" w:w="3456"/>
            <w:tcW w:w="6180" w:type="dxa"/>
          </w:tcPr>
          <w:p>
            <w:r>
              <w:rPr>
                <w:rFonts w:ascii="Arial" w:hAnsi="Arial"/>
                <w:b w:val="0"/>
                <w:i w:val="0"/>
                <w:sz w:val="15"/>
              </w:rPr>
              <w:t>Each active deliverable and milestone carries its title, percentage and phased amount. All Year 4 amounts were moved into Year 3; the cumulative formulas remain intact and reconcile to USD 2,620,590.</w:t>
            </w:r>
          </w:p>
        </w:tc>
        <w:tc>
          <w:tcPr>
            <w:tcW w:type="dxa" w:w="3456"/>
            <w:tcW w:w="2100" w:type="dxa"/>
          </w:tcPr>
          <w:p>
            <w:r>
              <w:rPr>
                <w:rFonts w:ascii="Arial" w:hAnsi="Arial"/>
                <w:b w:val="0"/>
                <w:i w:val="0"/>
                <w:sz w:val="15"/>
              </w:rPr>
              <w:t>Confirmed 36-month implementation period.</w:t>
            </w:r>
          </w:p>
        </w:tc>
      </w:tr>
      <w:tr>
        <w:tc>
          <w:tcPr>
            <w:tcW w:type="dxa" w:w="3456"/>
            <w:tcW w:w="1500" w:type="dxa"/>
            <w:shd w:val="clear" w:fill="F2F2F2"/>
          </w:tcPr>
          <w:p>
            <w:r>
              <w:rPr>
                <w:rFonts w:ascii="Arial" w:hAnsi="Arial"/>
                <w:b w:val="0"/>
                <w:i w:val="0"/>
                <w:sz w:val="15"/>
              </w:rPr>
              <w:t>Fee request</w:t>
            </w:r>
          </w:p>
        </w:tc>
        <w:tc>
          <w:tcPr>
            <w:tcW w:type="dxa" w:w="3456"/>
            <w:tcW w:w="3900" w:type="dxa"/>
          </w:tcPr>
          <w:p>
            <w:r>
              <w:rPr>
                <w:rFonts w:ascii="Arial" w:hAnsi="Arial"/>
                <w:b w:val="0"/>
                <w:i w:val="0"/>
                <w:sz w:val="15"/>
              </w:rPr>
              <w:t>Realign every number to the revised Budget Plan so the two tie out exactly.</w:t>
            </w:r>
          </w:p>
        </w:tc>
        <w:tc>
          <w:tcPr>
            <w:tcW w:type="dxa" w:w="3456"/>
            <w:tcW w:w="6180" w:type="dxa"/>
          </w:tcPr>
          <w:p>
            <w:r>
              <w:rPr>
                <w:rFonts w:ascii="Arial" w:hAnsi="Arial"/>
                <w:b w:val="0"/>
                <w:i w:val="0"/>
                <w:sz w:val="15"/>
              </w:rPr>
              <w:t>Fee-request lines rescaled to total USD 124,790 = 5% of sub-total; fee-percentage cell resolves to exactly 5.0%.</w:t>
            </w:r>
          </w:p>
        </w:tc>
        <w:tc>
          <w:tcPr>
            <w:tcW w:type="dxa" w:w="3456"/>
            <w:tcW w:w="2100" w:type="dxa"/>
          </w:tcPr>
          <w:p>
            <w:r>
              <w:rPr>
                <w:rFonts w:ascii="Arial" w:hAnsi="Arial"/>
                <w:b w:val="0"/>
                <w:i w:val="0"/>
                <w:sz w:val="15"/>
              </w:rPr>
              <w:t>Lines rescaled proportionally; residual trued up on the closure line.</w:t>
            </w:r>
          </w:p>
        </w:tc>
      </w:tr>
      <w:tr>
        <w:tc>
          <w:tcPr>
            <w:tcW w:type="dxa" w:w="3456"/>
            <w:tcW w:w="1500" w:type="dxa"/>
            <w:shd w:val="clear" w:fill="F2F2F2"/>
          </w:tcPr>
          <w:p>
            <w:r>
              <w:rPr>
                <w:rFonts w:ascii="Arial" w:hAnsi="Arial"/>
                <w:b w:val="0"/>
                <w:i w:val="0"/>
                <w:sz w:val="15"/>
              </w:rPr>
              <w:t>Budget Notes</w:t>
            </w:r>
          </w:p>
        </w:tc>
        <w:tc>
          <w:tcPr>
            <w:tcW w:type="dxa" w:w="3456"/>
            <w:tcW w:w="3900" w:type="dxa"/>
          </w:tcPr>
          <w:p>
            <w:r>
              <w:rPr>
                <w:rFonts w:ascii="Arial" w:hAnsi="Arial"/>
                <w:b w:val="0"/>
                <w:i w:val="0"/>
                <w:sz w:val="15"/>
              </w:rPr>
              <w:t>Translate Notes B and D from French to English and update their content.</w:t>
            </w:r>
          </w:p>
        </w:tc>
        <w:tc>
          <w:tcPr>
            <w:tcW w:type="dxa" w:w="3456"/>
            <w:tcW w:w="6180" w:type="dxa"/>
          </w:tcPr>
          <w:p>
            <w:r>
              <w:rPr>
                <w:rFonts w:ascii="Arial" w:hAnsi="Arial"/>
                <w:b w:val="0"/>
                <w:i w:val="0"/>
                <w:sz w:val="15"/>
              </w:rPr>
              <w:t>Notes B (local consultants) and D (workshops/events) translated to English and updated to 350/day, revised workshop counts and the new PMC. Figures in A, C, H, I, J, K, L refreshed; rebalancing Note M added.</w:t>
            </w:r>
          </w:p>
        </w:tc>
        <w:tc>
          <w:tcPr>
            <w:tcW w:type="dxa" w:w="3456"/>
            <w:tcW w:w="2100" w:type="dxa"/>
          </w:tcPr>
          <w:p>
            <w:r>
              <w:rPr>
                <w:rFonts w:ascii="Arial" w:hAnsi="Arial"/>
                <w:b w:val="0"/>
                <w:i w:val="0"/>
                <w:sz w:val="15"/>
              </w:rPr>
              <w:t>Non-required notes updated too, to avoid stale figures.</w:t>
            </w:r>
          </w:p>
        </w:tc>
      </w:tr>
      <w:tr>
        <w:tc>
          <w:tcPr>
            <w:tcW w:type="dxa" w:w="3456"/>
            <w:tcW w:w="1500" w:type="dxa"/>
            <w:shd w:val="clear" w:fill="F2F2F2"/>
          </w:tcPr>
          <w:p>
            <w:r>
              <w:rPr>
                <w:rFonts w:ascii="Arial" w:hAnsi="Arial"/>
                <w:b w:val="0"/>
                <w:i w:val="0"/>
                <w:sz w:val="15"/>
              </w:rPr>
              <w:t>Section 5</w:t>
            </w:r>
          </w:p>
        </w:tc>
        <w:tc>
          <w:tcPr>
            <w:tcW w:type="dxa" w:w="3456"/>
            <w:tcW w:w="3900" w:type="dxa"/>
          </w:tcPr>
          <w:p>
            <w:r>
              <w:rPr>
                <w:rFonts w:ascii="Arial" w:hAnsi="Arial"/>
                <w:b w:val="0"/>
                <w:i w:val="0"/>
                <w:sz w:val="15"/>
              </w:rPr>
              <w:t>Produce ready-to-enter GPP output-level values.</w:t>
            </w:r>
          </w:p>
        </w:tc>
        <w:tc>
          <w:tcPr>
            <w:tcW w:type="dxa" w:w="3456"/>
            <w:tcW w:w="6180" w:type="dxa"/>
          </w:tcPr>
          <w:p>
            <w:r>
              <w:rPr>
                <w:rFonts w:ascii="Arial" w:hAnsi="Arial"/>
                <w:b w:val="0"/>
                <w:i w:val="0"/>
                <w:sz w:val="15"/>
              </w:rPr>
              <w:t>Canonical GPP values reconciled across the proposal and both logframes. Primary RRMF indicators and supplemental programme indicators are clearly distinguished; all 'confirm' flags were resolved.</w:t>
            </w:r>
          </w:p>
        </w:tc>
        <w:tc>
          <w:tcPr>
            <w:tcW w:type="dxa" w:w="3456"/>
            <w:tcW w:w="2100" w:type="dxa"/>
          </w:tcPr>
          <w:p>
            <w:r>
              <w:rPr>
                <w:rFonts w:ascii="Arial" w:hAnsi="Arial"/>
                <w:b w:val="0"/>
                <w:i w:val="0"/>
                <w:sz w:val="15"/>
              </w:rPr>
              <w:t>Validated canonical mapping for GPP entry.</w:t>
            </w:r>
          </w:p>
        </w:tc>
      </w:tr>
      <w:tr>
        <w:tc>
          <w:tcPr>
            <w:tcW w:type="dxa" w:w="3456"/>
            <w:tcW w:w="1500" w:type="dxa"/>
            <w:shd w:val="clear" w:fill="F2F2F2"/>
          </w:tcPr>
          <w:p>
            <w:r>
              <w:rPr>
                <w:rFonts w:ascii="Arial" w:hAnsi="Arial"/>
                <w:b w:val="0"/>
                <w:i w:val="0"/>
                <w:sz w:val="15"/>
              </w:rPr>
              <w:t>Budget (8.1)</w:t>
            </w:r>
          </w:p>
        </w:tc>
        <w:tc>
          <w:tcPr>
            <w:tcW w:type="dxa" w:w="3456"/>
            <w:tcW w:w="3900" w:type="dxa"/>
          </w:tcPr>
          <w:p>
            <w:r>
              <w:rPr>
                <w:rFonts w:ascii="Arial" w:hAnsi="Arial"/>
                <w:b w:val="0"/>
                <w:i w:val="0"/>
                <w:sz w:val="15"/>
              </w:rPr>
              <w:t>Maintain international consultant rate at USD 500/day (GCF comment #5).</w:t>
            </w:r>
          </w:p>
        </w:tc>
        <w:tc>
          <w:tcPr>
            <w:tcW w:type="dxa" w:w="3456"/>
            <w:tcW w:w="6180" w:type="dxa"/>
          </w:tcPr>
          <w:p>
            <w:r>
              <w:rPr>
                <w:rFonts w:ascii="Arial" w:hAnsi="Arial"/>
                <w:b w:val="0"/>
                <w:i w:val="0"/>
                <w:sz w:val="15"/>
              </w:rPr>
              <w:t>All international consultant lines set at USD 500/day. Verified: 0 international lines off-500.</w:t>
            </w:r>
          </w:p>
        </w:tc>
        <w:tc>
          <w:tcPr>
            <w:tcW w:type="dxa" w:w="3456"/>
            <w:tcW w:w="2100" w:type="dxa"/>
          </w:tcPr>
          <w:p>
            <w:r>
              <w:rPr>
                <w:rFonts w:ascii="Arial" w:hAnsi="Arial"/>
                <w:b w:val="0"/>
                <w:i w:val="0"/>
                <w:sz w:val="15"/>
              </w:rPr>
              <w:t>—</w:t>
            </w:r>
          </w:p>
        </w:tc>
      </w:tr>
      <w:tr>
        <w:tc>
          <w:tcPr>
            <w:tcW w:type="dxa" w:w="3456"/>
            <w:tcW w:w="1500" w:type="dxa"/>
            <w:shd w:val="clear" w:fill="F2F2F2"/>
          </w:tcPr>
          <w:p>
            <w:r>
              <w:rPr>
                <w:rFonts w:ascii="Arial" w:hAnsi="Arial"/>
                <w:b w:val="0"/>
                <w:i w:val="0"/>
                <w:sz w:val="15"/>
              </w:rPr>
              <w:t>Budget (8.1)</w:t>
            </w:r>
          </w:p>
        </w:tc>
        <w:tc>
          <w:tcPr>
            <w:tcW w:type="dxa" w:w="3456"/>
            <w:tcW w:w="3900" w:type="dxa"/>
          </w:tcPr>
          <w:p>
            <w:r>
              <w:rPr>
                <w:rFonts w:ascii="Arial" w:hAnsi="Arial"/>
                <w:b w:val="0"/>
                <w:i w:val="0"/>
                <w:sz w:val="15"/>
              </w:rPr>
              <w:t>Reflect agreed scope: D9 = 228,000 (5 CNs), D10 = 700,000 (3 FPs), D8 removed, evaluation reconciled.</w:t>
            </w:r>
          </w:p>
        </w:tc>
        <w:tc>
          <w:tcPr>
            <w:tcW w:type="dxa" w:w="3456"/>
            <w:tcW w:w="6180" w:type="dxa"/>
          </w:tcPr>
          <w:p>
            <w:r>
              <w:rPr>
                <w:rFonts w:ascii="Arial" w:hAnsi="Arial"/>
                <w:b w:val="0"/>
                <w:i w:val="0"/>
                <w:sz w:val="15"/>
              </w:rPr>
              <w:t>D9 = 228,000 and D10 = 700,000 preserved with clean unit labels and 350/day local lines; D8 removed; evaluation corrected from residual USD 10,000 to reconciled USD 60,000.</w:t>
            </w:r>
          </w:p>
        </w:tc>
        <w:tc>
          <w:tcPr>
            <w:tcW w:type="dxa" w:w="3456"/>
            <w:tcW w:w="2100" w:type="dxa"/>
          </w:tcPr>
          <w:p>
            <w:r>
              <w:rPr>
                <w:rFonts w:ascii="Arial" w:hAnsi="Arial"/>
                <w:b w:val="0"/>
                <w:i w:val="0"/>
                <w:sz w:val="15"/>
              </w:rPr>
              <w:t>Evaluation corrected to 60,000 (memo &amp; Note K) — flagged as a data-fix.</w:t>
            </w:r>
          </w:p>
        </w:tc>
      </w:tr>
      <w:tr>
        <w:tc>
          <w:tcPr>
            <w:tcW w:type="dxa" w:w="3456"/>
            <w:tcW w:w="1500" w:type="dxa"/>
            <w:shd w:val="clear" w:fill="F2F2F2"/>
          </w:tcPr>
          <w:p>
            <w:r>
              <w:rPr>
                <w:rFonts w:ascii="Arial" w:hAnsi="Arial"/>
                <w:b w:val="0"/>
                <w:i w:val="0"/>
                <w:sz w:val="15"/>
              </w:rPr>
              <w:t>Whole workbook</w:t>
            </w:r>
          </w:p>
        </w:tc>
        <w:tc>
          <w:tcPr>
            <w:tcW w:type="dxa" w:w="3456"/>
            <w:tcW w:w="3900" w:type="dxa"/>
          </w:tcPr>
          <w:p>
            <w:r>
              <w:rPr>
                <w:rFonts w:ascii="Arial" w:hAnsi="Arial"/>
                <w:b w:val="0"/>
                <w:i w:val="0"/>
                <w:sz w:val="15"/>
              </w:rPr>
              <w:t>Grand total may change; correctness of lines takes priority — state the new total.</w:t>
            </w:r>
          </w:p>
        </w:tc>
        <w:tc>
          <w:tcPr>
            <w:tcW w:type="dxa" w:w="3456"/>
            <w:tcW w:w="6180" w:type="dxa"/>
          </w:tcPr>
          <w:p>
            <w:r>
              <w:rPr>
                <w:rFonts w:ascii="Arial" w:hAnsi="Arial"/>
                <w:b w:val="0"/>
                <w:i w:val="0"/>
                <w:sz w:val="15"/>
              </w:rPr>
              <w:t>New total = USD 2,620,590. The NDA validates the revised total for submission.</w:t>
            </w:r>
          </w:p>
        </w:tc>
        <w:tc>
          <w:tcPr>
            <w:tcW w:type="dxa" w:w="3456"/>
            <w:tcW w:w="2100" w:type="dxa"/>
          </w:tcPr>
          <w:p>
            <w:r>
              <w:rPr>
                <w:rFonts w:ascii="Arial" w:hAnsi="Arial"/>
                <w:b w:val="0"/>
                <w:i w:val="0"/>
                <w:sz w:val="15"/>
              </w:rPr>
              <w:t>NDA validation confirmed.</w:t>
            </w:r>
          </w:p>
        </w:tc>
      </w:tr>
    </w:tbl>
    <w:p>
      <w:pPr>
        <w:spacing w:after="120"/>
      </w:pPr>
      <w:r>
        <w:rPr>
          <w:b/>
          <w:i w:val="0"/>
          <w:color w:val="1F3864"/>
          <w:sz w:val="28"/>
        </w:rPr>
        <w:t>D.  Verification results (all checks passed)</w:t>
      </w:r>
    </w:p>
    <w:p>
      <w:pPr>
        <w:spacing w:after="80"/>
      </w:pPr>
      <w:r>
        <w:rPr>
          <w:b w:val="0"/>
          <w:sz w:val="20"/>
        </w:rPr>
        <w:t>1. Objective shares = 30.00% / 60.00% / 10.00%, sum 100%.  ✔</w:t>
      </w:r>
    </w:p>
    <w:p>
      <w:pPr>
        <w:spacing w:after="80"/>
      </w:pPr>
      <w:r>
        <w:rPr>
          <w:b w:val="0"/>
          <w:sz w:val="20"/>
        </w:rPr>
        <w:t>2. PMC = 7.43% ≤ 7.5%.  ✔</w:t>
      </w:r>
    </w:p>
    <w:p>
      <w:pPr>
        <w:spacing w:after="80"/>
      </w:pPr>
      <w:r>
        <w:rPr>
          <w:b w:val="0"/>
          <w:sz w:val="20"/>
        </w:rPr>
        <w:t>3. Budget Plan, Disbursement and Fee Request tie out (fee = 5.0%; disbursement grand = USD 2,620,590).  ✔</w:t>
      </w:r>
    </w:p>
    <w:p>
      <w:pPr>
        <w:spacing w:after="80"/>
      </w:pPr>
      <w:r>
        <w:rPr>
          <w:b w:val="0"/>
          <w:sz w:val="20"/>
        </w:rPr>
        <w:t>4. D8 blank and retained; column L formulas intact.  ✔</w:t>
      </w:r>
    </w:p>
    <w:p>
      <w:pPr>
        <w:spacing w:after="80"/>
      </w:pPr>
      <w:r>
        <w:rPr>
          <w:b w:val="0"/>
          <w:sz w:val="20"/>
        </w:rPr>
        <w:t>5. Every local consultant rate = USD 350/day (international = USD 500/day).  ✔</w:t>
      </w:r>
    </w:p>
    <w:p>
      <w:pPr>
        <w:spacing w:after="80" w:line="252" w:lineRule="auto"/>
      </w:pPr>
      <w:r>
        <w:rPr>
          <w:rFonts w:ascii="Arial" w:hAnsi="Arial"/>
          <w:b w:val="0"/>
          <w:i w:val="0"/>
          <w:sz w:val="18"/>
        </w:rPr>
        <w:t>6. All 14 GCF comments addressed and documented. ✓</w:t>
        <w:br/>
        <w:t>7. All implementation, evaluation and closure actions fall within Months 1-36; Year 4 is not applicable. ✓</w:t>
        <w:br/>
        <w:t>8. Proposal, logframes and GPP mapping use one canonical indicator set; NDA validation is stated. ✓</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