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F3864"/>
          <w:sz w:val="30"/>
        </w:rPr>
        <w:t>Guinea GCF Readiness — GCF-compliant Logical Framework (aligned to the Revised RRMF &amp; the revised budget)</w:t>
      </w:r>
    </w:p>
    <w:p>
      <w:pPr>
        <w:spacing w:after="80" w:line="252" w:lineRule="auto"/>
      </w:pPr>
      <w:r>
        <w:rPr>
          <w:rFonts w:ascii="Arial" w:hAnsi="Arial"/>
          <w:b w:val="0"/>
          <w:i w:val="0"/>
          <w:sz w:val="17"/>
        </w:rPr>
        <w:t>Direct Access · NDA: Ministry of Environment and Sustainable Development · Delivery Partner: ANAFIC · Total request USD 2,620,590 · 36 months · NDA-validated for submission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gridCol w:w="1440"/>
        <w:gridCol w:w="1440"/>
        <w:gridCol w:w="1440"/>
      </w:tblGrid>
      <w:tr>
        <w:tc>
          <w:tcPr>
            <w:tcW w:type="dxa" w:w="1440"/>
            <w:tcW w:w="1423" w:type="dxa"/>
            <w:shd w:val="clear" w:fill="1F3864"/>
          </w:tcPr>
          <w:p>
            <w:r>
              <w:rPr>
                <w:b/>
                <w:color w:val="FFFFFF"/>
                <w:sz w:val="16"/>
              </w:rPr>
              <w:t>Objective (budget)</w:t>
            </w:r>
          </w:p>
        </w:tc>
        <w:tc>
          <w:tcPr>
            <w:tcW w:type="dxa" w:w="1440"/>
            <w:tcW w:w="2229" w:type="dxa"/>
            <w:shd w:val="clear" w:fill="1F3864"/>
          </w:tcPr>
          <w:p>
            <w:r>
              <w:rPr>
                <w:b/>
                <w:color w:val="FFFFFF"/>
                <w:sz w:val="16"/>
              </w:rPr>
              <w:t>Outcome &amp; outcome indicator (0–3 scaler)</w:t>
            </w:r>
          </w:p>
        </w:tc>
        <w:tc>
          <w:tcPr>
            <w:tcW w:type="dxa" w:w="1440"/>
            <w:tcW w:w="1470" w:type="dxa"/>
            <w:shd w:val="clear" w:fill="1F3864"/>
          </w:tcPr>
          <w:p>
            <w:r>
              <w:rPr>
                <w:b/>
                <w:color w:val="FFFFFF"/>
                <w:sz w:val="16"/>
              </w:rPr>
              <w:t>Output</w:t>
            </w:r>
          </w:p>
        </w:tc>
        <w:tc>
          <w:tcPr>
            <w:tcW w:type="dxa" w:w="1440"/>
            <w:tcW w:w="2229" w:type="dxa"/>
            <w:shd w:val="clear" w:fill="1F3864"/>
          </w:tcPr>
          <w:p>
            <w:r>
              <w:rPr>
                <w:b/>
                <w:color w:val="FFFFFF"/>
                <w:sz w:val="16"/>
              </w:rPr>
              <w:t>Output indicator</w:t>
            </w:r>
          </w:p>
        </w:tc>
        <w:tc>
          <w:tcPr>
            <w:tcW w:type="dxa" w:w="1440"/>
            <w:tcW w:w="740" w:type="dxa"/>
            <w:shd w:val="clear" w:fill="1F3864"/>
          </w:tcPr>
          <w:p>
            <w:r>
              <w:rPr>
                <w:b/>
                <w:color w:val="FFFFFF"/>
                <w:sz w:val="16"/>
              </w:rPr>
              <w:t>Unit</w:t>
            </w:r>
          </w:p>
        </w:tc>
        <w:tc>
          <w:tcPr>
            <w:tcW w:type="dxa" w:w="1440"/>
            <w:tcW w:w="493" w:type="dxa"/>
            <w:shd w:val="clear" w:fill="1F3864"/>
          </w:tcPr>
          <w:p>
            <w:r>
              <w:rPr>
                <w:b/>
                <w:color w:val="FFFFFF"/>
                <w:sz w:val="16"/>
              </w:rPr>
              <w:t>Base</w:t>
            </w:r>
          </w:p>
        </w:tc>
        <w:tc>
          <w:tcPr>
            <w:tcW w:type="dxa" w:w="1440"/>
            <w:tcW w:w="721" w:type="dxa"/>
            <w:shd w:val="clear" w:fill="1F3864"/>
          </w:tcPr>
          <w:p>
            <w:r>
              <w:rPr>
                <w:b/>
                <w:color w:val="FFFFFF"/>
                <w:sz w:val="16"/>
              </w:rPr>
              <w:t>Target</w:t>
            </w:r>
          </w:p>
        </w:tc>
        <w:tc>
          <w:tcPr>
            <w:tcW w:type="dxa" w:w="1440"/>
            <w:tcW w:w="1945" w:type="dxa"/>
            <w:shd w:val="clear" w:fill="1F3864"/>
          </w:tcPr>
          <w:p>
            <w:r>
              <w:rPr>
                <w:b/>
                <w:color w:val="FFFFFF"/>
                <w:sz w:val="16"/>
              </w:rPr>
              <w:t>Disaggregation</w:t>
            </w:r>
          </w:p>
        </w:tc>
        <w:tc>
          <w:tcPr>
            <w:tcW w:type="dxa" w:w="1440"/>
            <w:tcW w:w="2343" w:type="dxa"/>
            <w:shd w:val="clear" w:fill="1F3864"/>
          </w:tcPr>
          <w:p>
            <w:r>
              <w:rPr>
                <w:b/>
                <w:color w:val="FFFFFF"/>
                <w:sz w:val="16"/>
              </w:rPr>
              <w:t>Means of verification (Deliverable)</w:t>
            </w:r>
          </w:p>
        </w:tc>
        <w:tc>
          <w:tcPr>
            <w:tcW w:type="dxa" w:w="1440"/>
            <w:tcW w:w="807" w:type="dxa"/>
            <w:shd w:val="clear" w:fill="1F3864"/>
          </w:tcPr>
          <w:p>
            <w:r>
              <w:rPr>
                <w:b/>
                <w:color w:val="FFFFFF"/>
                <w:sz w:val="16"/>
              </w:rPr>
              <w:t>Budget (USD)</w:t>
            </w:r>
          </w:p>
        </w:tc>
      </w:tr>
      <w:tr>
        <w:tc>
          <w:tcPr>
            <w:tcW w:type="dxa" w:w="14400"/>
            <w:gridSpan w:val="10"/>
            <w:shd w:val="clear" w:fill="2E75B6"/>
          </w:tcPr>
          <w:p>
            <w:r>
              <w:rPr>
                <w:b/>
                <w:color w:val="FFFFFF"/>
                <w:sz w:val="18"/>
              </w:rPr>
              <w:t>Objective 1: Capacity-building for climate-finance coordination &amp; enabling environment  —  USD 660,000 (30%)</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Outcome 1.1 — enhanced NDA/FP capacity incl. coordination. OI 1.1.1 (scaler): baseline 1 → target 3</w:t>
            </w:r>
          </w:p>
        </w:tc>
        <w:tc>
          <w:tcPr>
            <w:tcW w:type="dxa" w:w="1440"/>
            <w:tcW w:w="1470" w:type="dxa"/>
          </w:tcPr>
          <w:p>
            <w:r>
              <w:rPr>
                <w:sz w:val="15"/>
              </w:rPr>
              <w:t>Output 1.1.1 — NDA/FP &amp; stakeholders enhanced capacity</w:t>
            </w:r>
          </w:p>
        </w:tc>
        <w:tc>
          <w:tcPr>
            <w:tcW w:type="dxa" w:w="1440"/>
            <w:tcW w:w="2229" w:type="dxa"/>
          </w:tcPr>
          <w:p>
            <w:pPr>
              <w:spacing w:after="80" w:line="252" w:lineRule="auto"/>
            </w:pPr>
            <w:r>
              <w:rPr>
                <w:rFonts w:ascii="Arial" w:hAnsi="Arial"/>
                <w:b w:val="0"/>
                <w:i w:val="0"/>
                <w:sz w:val="14"/>
              </w:rPr>
              <w:t>OI 1.1.1.1 Proportion of NDA/FP, Coordination Mechanism &amp; stakeholders reporting enhanced capacity (X/total)</w:t>
            </w:r>
          </w:p>
        </w:tc>
        <w:tc>
          <w:tcPr>
            <w:tcW w:type="dxa" w:w="1440"/>
            <w:tcW w:w="740" w:type="dxa"/>
          </w:tcPr>
          <w:p>
            <w:pPr>
              <w:spacing w:after="80" w:line="252" w:lineRule="auto"/>
            </w:pPr>
            <w:r>
              <w:rPr>
                <w:rFonts w:ascii="Arial" w:hAnsi="Arial"/>
                <w:b w:val="0"/>
                <w:i w:val="0"/>
                <w:sz w:val="14"/>
              </w:rPr>
              <w:t>Percentage; denominator 120 participants</w:t>
            </w:r>
          </w:p>
        </w:tc>
        <w:tc>
          <w:tcPr>
            <w:tcW w:type="dxa" w:w="1440"/>
            <w:tcW w:w="493" w:type="dxa"/>
          </w:tcPr>
          <w:p>
            <w:pPr>
              <w:spacing w:after="80" w:line="252" w:lineRule="auto"/>
              <w:jc w:val="center"/>
            </w:pPr>
            <w:r>
              <w:rPr>
                <w:rFonts w:ascii="Arial" w:hAnsi="Arial"/>
                <w:b w:val="0"/>
                <w:i w:val="0"/>
                <w:sz w:val="14"/>
              </w:rPr>
              <w:t>0%</w:t>
            </w:r>
          </w:p>
        </w:tc>
        <w:tc>
          <w:tcPr>
            <w:tcW w:type="dxa" w:w="1440"/>
            <w:tcW w:w="721" w:type="dxa"/>
          </w:tcPr>
          <w:p>
            <w:pPr>
              <w:spacing w:after="80" w:line="252" w:lineRule="auto"/>
              <w:jc w:val="center"/>
            </w:pPr>
            <w:r>
              <w:rPr>
                <w:rFonts w:ascii="Arial" w:hAnsi="Arial"/>
                <w:b w:val="0"/>
                <w:i w:val="0"/>
                <w:sz w:val="14"/>
              </w:rPr>
              <w:t>≥70% of 120</w:t>
            </w:r>
          </w:p>
        </w:tc>
        <w:tc>
          <w:tcPr>
            <w:tcW w:type="dxa" w:w="1440"/>
            <w:tcW w:w="1945" w:type="dxa"/>
          </w:tcPr>
          <w:p>
            <w:pPr>
              <w:spacing w:after="80" w:line="252" w:lineRule="auto"/>
            </w:pPr>
            <w:r>
              <w:rPr>
                <w:rFonts w:ascii="Arial" w:hAnsi="Arial"/>
                <w:b w:val="0"/>
                <w:i w:val="0"/>
                <w:sz w:val="14"/>
              </w:rPr>
              <w:t>Sex; stakeholder group; NDC/NAP/LTS workstream</w:t>
            </w:r>
          </w:p>
        </w:tc>
        <w:tc>
          <w:tcPr>
            <w:tcW w:type="dxa" w:w="1440"/>
            <w:tcW w:w="2343" w:type="dxa"/>
          </w:tcPr>
          <w:p>
            <w:pPr>
              <w:spacing w:after="80" w:line="252" w:lineRule="auto"/>
            </w:pPr>
            <w:r>
              <w:rPr>
                <w:rFonts w:ascii="Arial" w:hAnsi="Arial"/>
                <w:b w:val="0"/>
                <w:i w:val="0"/>
                <w:sz w:val="14"/>
              </w:rPr>
              <w:t>D1 — status report and pre/post capacity assessments</w:t>
            </w:r>
          </w:p>
        </w:tc>
        <w:tc>
          <w:tcPr>
            <w:tcW w:type="dxa" w:w="1440"/>
            <w:tcW w:w="807" w:type="dxa"/>
          </w:tcPr>
          <w:p>
            <w:pPr>
              <w:jc w:val="center"/>
            </w:pPr>
            <w:r>
              <w:rPr>
                <w:sz w:val="15"/>
              </w:rPr>
              <w:t>150,000</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OI 1.1.2 (scaler) Coordination Mechanism effectiveness: baseline 0 → target 3</w:t>
            </w:r>
          </w:p>
        </w:tc>
        <w:tc>
          <w:tcPr>
            <w:tcW w:type="dxa" w:w="1440"/>
            <w:tcW w:w="1470" w:type="dxa"/>
          </w:tcPr>
          <w:p>
            <w:r>
              <w:rPr>
                <w:sz w:val="15"/>
              </w:rPr>
              <w:t>Output 1.1.2 — inclusive Coordination Mechanism</w:t>
            </w:r>
          </w:p>
        </w:tc>
        <w:tc>
          <w:tcPr>
            <w:tcW w:type="dxa" w:w="1440"/>
            <w:tcW w:w="2229" w:type="dxa"/>
          </w:tcPr>
          <w:p>
            <w:r>
              <w:rPr>
                <w:sz w:val="15"/>
              </w:rPr>
              <w:t>OI 1.1.2.1 Coordination Mechanism / Country Platform established or strengthened</w:t>
            </w:r>
          </w:p>
        </w:tc>
        <w:tc>
          <w:tcPr>
            <w:tcW w:type="dxa" w:w="1440"/>
            <w:tcW w:w="740" w:type="dxa"/>
          </w:tcPr>
          <w:p>
            <w:r>
              <w:rPr>
                <w:sz w:val="15"/>
              </w:rPr>
              <w:t>No. of mechanisms/platforms</w:t>
            </w:r>
          </w:p>
        </w:tc>
        <w:tc>
          <w:tcPr>
            <w:tcW w:type="dxa" w:w="1440"/>
            <w:tcW w:w="493" w:type="dxa"/>
          </w:tcPr>
          <w:p>
            <w:pPr>
              <w:jc w:val="center"/>
            </w:pPr>
            <w:r>
              <w:rPr>
                <w:sz w:val="15"/>
              </w:rPr>
              <w:t>0</w:t>
            </w:r>
          </w:p>
        </w:tc>
        <w:tc>
          <w:tcPr>
            <w:tcW w:type="dxa" w:w="1440"/>
            <w:tcW w:w="721" w:type="dxa"/>
          </w:tcPr>
          <w:p>
            <w:pPr>
              <w:jc w:val="center"/>
            </w:pPr>
            <w:r>
              <w:rPr>
                <w:sz w:val="15"/>
              </w:rPr>
              <w:t>1</w:t>
            </w:r>
          </w:p>
        </w:tc>
        <w:tc>
          <w:tcPr>
            <w:tcW w:type="dxa" w:w="1440"/>
            <w:tcW w:w="1945" w:type="dxa"/>
          </w:tcPr>
          <w:p>
            <w:r>
              <w:rPr>
                <w:sz w:val="15"/>
              </w:rPr>
              <w:t>Type: Country Platform; Status: Establish</w:t>
            </w:r>
          </w:p>
        </w:tc>
        <w:tc>
          <w:tcPr>
            <w:tcW w:type="dxa" w:w="1440"/>
            <w:tcW w:w="2343" w:type="dxa"/>
          </w:tcPr>
          <w:p>
            <w:r>
              <w:rPr>
                <w:sz w:val="15"/>
              </w:rPr>
              <w:t>D2 — Status report on country coordination mechanism / platform</w:t>
            </w:r>
          </w:p>
        </w:tc>
        <w:tc>
          <w:tcPr>
            <w:tcW w:type="dxa" w:w="1440"/>
            <w:tcW w:w="807" w:type="dxa"/>
          </w:tcPr>
          <w:p>
            <w:pPr>
              <w:jc w:val="center"/>
            </w:pPr>
            <w:r>
              <w:rPr>
                <w:sz w:val="15"/>
              </w:rPr>
              <w:t>120,000</w:t>
            </w:r>
          </w:p>
        </w:tc>
      </w:tr>
      <w:tr>
        <w:tc>
          <w:tcPr>
            <w:tcW w:type="dxa" w:w="1440"/>
            <w:tcW w:w="1423" w:type="dxa"/>
          </w:tcPr>
          <w:p>
            <w:r>
              <w:rPr>
                <w:sz w:val="15"/>
              </w:rPr>
            </w:r>
          </w:p>
        </w:tc>
        <w:tc>
          <w:tcPr>
            <w:tcW w:type="dxa" w:w="1440"/>
            <w:tcW w:w="2229" w:type="dxa"/>
          </w:tcPr>
          <w:p>
            <w:r>
              <w:rPr>
                <w:sz w:val="15"/>
              </w:rPr>
            </w:r>
          </w:p>
        </w:tc>
        <w:tc>
          <w:tcPr>
            <w:tcW w:type="dxa" w:w="1440"/>
            <w:tcW w:w="1470" w:type="dxa"/>
          </w:tcPr>
          <w:p>
            <w:r>
              <w:rPr>
                <w:sz w:val="15"/>
              </w:rPr>
            </w:r>
          </w:p>
        </w:tc>
        <w:tc>
          <w:tcPr>
            <w:tcW w:type="dxa" w:w="1440"/>
            <w:tcW w:w="2229" w:type="dxa"/>
          </w:tcPr>
          <w:p>
            <w:r>
              <w:rPr>
                <w:sz w:val="15"/>
              </w:rPr>
              <w:t>OI 1.1.2.2 Number of coordination meetings/dialogues undertaken (+ participants F/M in APR)</w:t>
            </w:r>
          </w:p>
        </w:tc>
        <w:tc>
          <w:tcPr>
            <w:tcW w:type="dxa" w:w="1440"/>
            <w:tcW w:w="740" w:type="dxa"/>
          </w:tcPr>
          <w:p>
            <w:r>
              <w:rPr>
                <w:sz w:val="15"/>
              </w:rPr>
              <w:t>No. of meetings/dialogues</w:t>
            </w:r>
          </w:p>
        </w:tc>
        <w:tc>
          <w:tcPr>
            <w:tcW w:type="dxa" w:w="1440"/>
            <w:tcW w:w="493" w:type="dxa"/>
          </w:tcPr>
          <w:p>
            <w:pPr>
              <w:jc w:val="center"/>
            </w:pPr>
            <w:r>
              <w:rPr>
                <w:sz w:val="15"/>
              </w:rPr>
              <w:t>0</w:t>
            </w:r>
          </w:p>
        </w:tc>
        <w:tc>
          <w:tcPr>
            <w:tcW w:type="dxa" w:w="1440"/>
            <w:tcW w:w="721" w:type="dxa"/>
          </w:tcPr>
          <w:p>
            <w:pPr>
              <w:spacing w:after="80" w:line="252" w:lineRule="auto"/>
              <w:jc w:val="center"/>
            </w:pPr>
            <w:r>
              <w:rPr>
                <w:rFonts w:ascii="Arial" w:hAnsi="Arial"/>
                <w:b w:val="0"/>
                <w:i w:val="0"/>
                <w:sz w:val="14"/>
              </w:rPr>
              <w:t>9 meetings/dialogues</w:t>
            </w:r>
          </w:p>
        </w:tc>
        <w:tc>
          <w:tcPr>
            <w:tcW w:type="dxa" w:w="1440"/>
            <w:tcW w:w="1945" w:type="dxa"/>
          </w:tcPr>
          <w:p>
            <w:r>
              <w:rPr>
                <w:sz w:val="15"/>
              </w:rPr>
              <w:t>Total meetings/dialogues; participants (F/M)</w:t>
            </w:r>
          </w:p>
        </w:tc>
        <w:tc>
          <w:tcPr>
            <w:tcW w:type="dxa" w:w="1440"/>
            <w:tcW w:w="2343" w:type="dxa"/>
          </w:tcPr>
          <w:p>
            <w:r>
              <w:rPr>
                <w:sz w:val="15"/>
              </w:rPr>
              <w:t>D2 (as above)</w:t>
            </w:r>
          </w:p>
        </w:tc>
        <w:tc>
          <w:tcPr>
            <w:tcW w:type="dxa" w:w="1440"/>
            <w:tcW w:w="807" w:type="dxa"/>
          </w:tcPr>
          <w:p>
            <w:pPr>
              <w:jc w:val="center"/>
            </w:pPr>
            <w:r>
              <w:rPr>
                <w:sz w:val="15"/>
              </w:rPr>
              <w:t>(in D2)</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Outcome 1.2 — strategic frameworks &amp; policy instruments. OI 1.2.1 (scaler): baseline 1 → target 3</w:t>
            </w:r>
          </w:p>
        </w:tc>
        <w:tc>
          <w:tcPr>
            <w:tcW w:type="dxa" w:w="1440"/>
            <w:tcW w:w="1470" w:type="dxa"/>
          </w:tcPr>
          <w:p>
            <w:r>
              <w:rPr>
                <w:sz w:val="15"/>
              </w:rPr>
              <w:t>Output 1.2.1 — frameworks &amp; instruments created/updated/strengthened</w:t>
            </w:r>
          </w:p>
        </w:tc>
        <w:tc>
          <w:tcPr>
            <w:tcW w:type="dxa" w:w="1440"/>
            <w:tcW w:w="2229" w:type="dxa"/>
          </w:tcPr>
          <w:p>
            <w:r>
              <w:rPr>
                <w:sz w:val="15"/>
              </w:rPr>
              <w:t>OI 1.2.1.1 Number of inclusive NDCs, NAPs &amp; LTSs developed or advanced</w:t>
            </w:r>
          </w:p>
        </w:tc>
        <w:tc>
          <w:tcPr>
            <w:tcW w:type="dxa" w:w="1440"/>
            <w:tcW w:w="740" w:type="dxa"/>
          </w:tcPr>
          <w:p>
            <w:r>
              <w:rPr>
                <w:sz w:val="15"/>
              </w:rPr>
              <w:t>No. of frameworks</w:t>
            </w:r>
          </w:p>
        </w:tc>
        <w:tc>
          <w:tcPr>
            <w:tcW w:type="dxa" w:w="1440"/>
            <w:tcW w:w="493" w:type="dxa"/>
          </w:tcPr>
          <w:p>
            <w:pPr>
              <w:jc w:val="center"/>
            </w:pPr>
            <w:r>
              <w:rPr>
                <w:sz w:val="15"/>
              </w:rPr>
              <w:t>0</w:t>
            </w:r>
          </w:p>
        </w:tc>
        <w:tc>
          <w:tcPr>
            <w:tcW w:type="dxa" w:w="1440"/>
            <w:tcW w:w="721" w:type="dxa"/>
          </w:tcPr>
          <w:p>
            <w:pPr>
              <w:jc w:val="center"/>
            </w:pPr>
            <w:r>
              <w:rPr>
                <w:sz w:val="15"/>
              </w:rPr>
              <w:t>3</w:t>
            </w:r>
          </w:p>
        </w:tc>
        <w:tc>
          <w:tcPr>
            <w:tcW w:type="dxa" w:w="1440"/>
            <w:tcW w:w="1945" w:type="dxa"/>
          </w:tcPr>
          <w:p>
            <w:r>
              <w:rPr>
                <w:sz w:val="15"/>
              </w:rPr>
              <w:t>Strategic framework: NDC/NAP/LTS; status developed/updated</w:t>
            </w:r>
          </w:p>
        </w:tc>
        <w:tc>
          <w:tcPr>
            <w:tcW w:type="dxa" w:w="1440"/>
            <w:tcW w:w="2343" w:type="dxa"/>
          </w:tcPr>
          <w:p>
            <w:r>
              <w:rPr>
                <w:sz w:val="15"/>
              </w:rPr>
              <w:t>D3, D4, D5 — NAP, NDC, LTS status reports</w:t>
            </w:r>
          </w:p>
        </w:tc>
        <w:tc>
          <w:tcPr>
            <w:tcW w:type="dxa" w:w="1440"/>
            <w:tcW w:w="807" w:type="dxa"/>
          </w:tcPr>
          <w:p>
            <w:pPr>
              <w:jc w:val="center"/>
            </w:pPr>
            <w:r>
              <w:rPr>
                <w:sz w:val="15"/>
              </w:rPr>
              <w:t>30k / 45k / 25k</w:t>
            </w:r>
          </w:p>
        </w:tc>
      </w:tr>
      <w:tr>
        <w:tc>
          <w:tcPr>
            <w:tcW w:type="dxa" w:w="1440"/>
            <w:tcW w:w="1423" w:type="dxa"/>
          </w:tcPr>
          <w:p>
            <w:r>
              <w:rPr>
                <w:sz w:val="15"/>
              </w:rPr>
            </w:r>
          </w:p>
        </w:tc>
        <w:tc>
          <w:tcPr>
            <w:tcW w:type="dxa" w:w="1440"/>
            <w:tcW w:w="2229" w:type="dxa"/>
          </w:tcPr>
          <w:p>
            <w:r>
              <w:rPr>
                <w:sz w:val="15"/>
              </w:rPr>
            </w:r>
          </w:p>
        </w:tc>
        <w:tc>
          <w:tcPr>
            <w:tcW w:type="dxa" w:w="1440"/>
            <w:tcW w:w="1470" w:type="dxa"/>
          </w:tcPr>
          <w:p>
            <w:r>
              <w:rPr>
                <w:sz w:val="15"/>
              </w:rPr>
            </w:r>
          </w:p>
        </w:tc>
        <w:tc>
          <w:tcPr>
            <w:tcW w:type="dxa" w:w="1440"/>
            <w:tcW w:w="2229" w:type="dxa"/>
          </w:tcPr>
          <w:p>
            <w:r>
              <w:rPr>
                <w:sz w:val="15"/>
              </w:rPr>
              <w:t>OI 1.2.1.2/1.2.1.3 Number of policy instruments / private-sector incentive mechanisms</w:t>
            </w:r>
          </w:p>
        </w:tc>
        <w:tc>
          <w:tcPr>
            <w:tcW w:type="dxa" w:w="1440"/>
            <w:tcW w:w="740" w:type="dxa"/>
          </w:tcPr>
          <w:p>
            <w:r>
              <w:rPr>
                <w:sz w:val="15"/>
              </w:rPr>
              <w:t>No. of instruments</w:t>
            </w:r>
          </w:p>
        </w:tc>
        <w:tc>
          <w:tcPr>
            <w:tcW w:type="dxa" w:w="1440"/>
            <w:tcW w:w="493" w:type="dxa"/>
          </w:tcPr>
          <w:p>
            <w:pPr>
              <w:jc w:val="center"/>
            </w:pPr>
            <w:r>
              <w:rPr>
                <w:sz w:val="15"/>
              </w:rPr>
              <w:t>0</w:t>
            </w:r>
          </w:p>
        </w:tc>
        <w:tc>
          <w:tcPr>
            <w:tcW w:type="dxa" w:w="1440"/>
            <w:tcW w:w="721" w:type="dxa"/>
          </w:tcPr>
          <w:p>
            <w:pPr>
              <w:jc w:val="center"/>
            </w:pPr>
            <w:r>
              <w:rPr>
                <w:sz w:val="15"/>
              </w:rPr>
              <w:t>≥1</w:t>
            </w:r>
          </w:p>
        </w:tc>
        <w:tc>
          <w:tcPr>
            <w:tcW w:type="dxa" w:w="1440"/>
            <w:tcW w:w="1945" w:type="dxa"/>
          </w:tcPr>
          <w:p>
            <w:r>
              <w:rPr>
                <w:sz w:val="15"/>
              </w:rPr>
              <w:t>Policy-related; climate-investment-programming-related</w:t>
            </w:r>
          </w:p>
        </w:tc>
        <w:tc>
          <w:tcPr>
            <w:tcW w:type="dxa" w:w="1440"/>
            <w:tcW w:w="2343" w:type="dxa"/>
          </w:tcPr>
          <w:p>
            <w:r>
              <w:rPr>
                <w:sz w:val="15"/>
              </w:rPr>
              <w:t>D6 — private-sector engagement policies/regulations</w:t>
            </w:r>
          </w:p>
        </w:tc>
        <w:tc>
          <w:tcPr>
            <w:tcW w:type="dxa" w:w="1440"/>
            <w:tcW w:w="807" w:type="dxa"/>
          </w:tcPr>
          <w:p>
            <w:pPr>
              <w:jc w:val="center"/>
            </w:pPr>
            <w:r>
              <w:rPr>
                <w:sz w:val="15"/>
              </w:rPr>
              <w:t>90,000</w:t>
            </w:r>
          </w:p>
        </w:tc>
      </w:tr>
      <w:tr>
        <w:tc>
          <w:tcPr>
            <w:tcW w:type="dxa" w:w="1440"/>
            <w:tcW w:w="1423" w:type="dxa"/>
          </w:tcPr>
          <w:p>
            <w:r>
              <w:rPr>
                <w:sz w:val="15"/>
              </w:rPr>
            </w:r>
          </w:p>
        </w:tc>
        <w:tc>
          <w:tcPr>
            <w:tcW w:type="dxa" w:w="1440"/>
            <w:tcW w:w="2229" w:type="dxa"/>
          </w:tcPr>
          <w:p>
            <w:r>
              <w:rPr>
                <w:sz w:val="15"/>
              </w:rPr>
              <w:t>Outcome 1.3 — DAEs met/maintained accreditation. OI 1.3.1: baseline 0 → target 2</w:t>
            </w:r>
          </w:p>
        </w:tc>
        <w:tc>
          <w:tcPr>
            <w:tcW w:type="dxa" w:w="1440"/>
            <w:tcW w:w="1470" w:type="dxa"/>
          </w:tcPr>
          <w:p>
            <w:r>
              <w:rPr>
                <w:sz w:val="15"/>
              </w:rPr>
              <w:t>Output 1.3.1 — institutional gaps of DAEs addressed</w:t>
            </w:r>
          </w:p>
        </w:tc>
        <w:tc>
          <w:tcPr>
            <w:tcW w:type="dxa" w:w="1440"/>
            <w:tcW w:w="2229" w:type="dxa"/>
          </w:tcPr>
          <w:p>
            <w:r>
              <w:rPr>
                <w:sz w:val="15"/>
              </w:rPr>
              <w:t>OI 1.3.1.1 Number of applicants/DAEs with capacity, systems, policies &amp; tools compliant with GCF accreditation</w:t>
            </w:r>
          </w:p>
        </w:tc>
        <w:tc>
          <w:tcPr>
            <w:tcW w:type="dxa" w:w="1440"/>
            <w:tcW w:w="740" w:type="dxa"/>
          </w:tcPr>
          <w:p>
            <w:r>
              <w:rPr>
                <w:sz w:val="15"/>
              </w:rPr>
              <w:t>No. of entities</w:t>
            </w:r>
          </w:p>
        </w:tc>
        <w:tc>
          <w:tcPr>
            <w:tcW w:type="dxa" w:w="1440"/>
            <w:tcW w:w="493" w:type="dxa"/>
          </w:tcPr>
          <w:p>
            <w:pPr>
              <w:jc w:val="center"/>
            </w:pPr>
            <w:r>
              <w:rPr>
                <w:sz w:val="15"/>
              </w:rPr>
              <w:t>0</w:t>
            </w:r>
          </w:p>
        </w:tc>
        <w:tc>
          <w:tcPr>
            <w:tcW w:type="dxa" w:w="1440"/>
            <w:tcW w:w="721" w:type="dxa"/>
          </w:tcPr>
          <w:p>
            <w:pPr>
              <w:spacing w:after="80" w:line="252" w:lineRule="auto"/>
              <w:jc w:val="center"/>
            </w:pPr>
            <w:r>
              <w:rPr>
                <w:rFonts w:ascii="Arial" w:hAnsi="Arial"/>
                <w:b w:val="0"/>
                <w:i w:val="0"/>
                <w:sz w:val="14"/>
              </w:rPr>
              <w:t>2 (ANAFIC and Access Bank Guinea; subject to GCF Accreditation Team confirmation)</w:t>
            </w:r>
          </w:p>
        </w:tc>
        <w:tc>
          <w:tcPr>
            <w:tcW w:type="dxa" w:w="1440"/>
            <w:tcW w:w="1945" w:type="dxa"/>
          </w:tcPr>
          <w:p>
            <w:r>
              <w:rPr>
                <w:sz w:val="15"/>
              </w:rPr>
              <w:t>Pre-accreditation; post-accreditation support</w:t>
            </w:r>
          </w:p>
        </w:tc>
        <w:tc>
          <w:tcPr>
            <w:tcW w:type="dxa" w:w="1440"/>
            <w:tcW w:w="2343" w:type="dxa"/>
          </w:tcPr>
          <w:p>
            <w:r>
              <w:rPr>
                <w:sz w:val="15"/>
              </w:rPr>
              <w:t>D7 — Status report on accreditation capacity building</w:t>
            </w:r>
          </w:p>
        </w:tc>
        <w:tc>
          <w:tcPr>
            <w:tcW w:type="dxa" w:w="1440"/>
            <w:tcW w:w="807" w:type="dxa"/>
          </w:tcPr>
          <w:p>
            <w:pPr>
              <w:jc w:val="center"/>
            </w:pPr>
            <w:r>
              <w:rPr>
                <w:sz w:val="15"/>
              </w:rPr>
              <w:t>200,000</w:t>
            </w:r>
          </w:p>
        </w:tc>
      </w:tr>
      <w:tr>
        <w:tc>
          <w:tcPr>
            <w:tcW w:type="dxa" w:w="14400"/>
            <w:gridSpan w:val="10"/>
            <w:shd w:val="clear" w:fill="2E75B6"/>
          </w:tcPr>
          <w:p>
            <w:r>
              <w:rPr>
                <w:b/>
                <w:color w:val="FFFFFF"/>
                <w:sz w:val="18"/>
              </w:rPr>
              <w:t>Objective 2: Paradigm-shifting GCF pipeline development &amp; implementation (USP-2)  —  USD 1,320,000 (60%)</w:t>
            </w:r>
          </w:p>
        </w:tc>
      </w:tr>
      <w:tr>
        <w:tc>
          <w:tcPr>
            <w:tcW w:type="dxa" w:w="1440"/>
            <w:tcW w:w="1423" w:type="dxa"/>
          </w:tcPr>
          <w:p>
            <w:r>
              <w:rPr>
                <w:sz w:val="15"/>
              </w:rPr>
            </w:r>
          </w:p>
        </w:tc>
        <w:tc>
          <w:tcPr>
            <w:tcW w:type="dxa" w:w="1440"/>
            <w:tcW w:w="2229" w:type="dxa"/>
          </w:tcPr>
          <w:p>
            <w:r>
              <w:rPr>
                <w:sz w:val="15"/>
              </w:rPr>
              <w:t>Outcome 2.1 — country programmes guide GCF investment. OI 2.1.1: N/A (D8 removed)</w:t>
            </w:r>
          </w:p>
        </w:tc>
        <w:tc>
          <w:tcPr>
            <w:tcW w:type="dxa" w:w="1440"/>
            <w:tcW w:w="1470" w:type="dxa"/>
          </w:tcPr>
          <w:p>
            <w:r>
              <w:rPr>
                <w:sz w:val="15"/>
              </w:rPr>
              <w:t>Output 2.1.1 — Country Programme (D8)</w:t>
            </w:r>
          </w:p>
        </w:tc>
        <w:tc>
          <w:tcPr>
            <w:tcW w:type="dxa" w:w="1440"/>
            <w:tcW w:w="2229" w:type="dxa"/>
          </w:tcPr>
          <w:p>
            <w:r>
              <w:rPr>
                <w:sz w:val="15"/>
              </w:rPr>
              <w:t>OI 2.1.1.1 Inclusive Country Programme — NOT APPLICABLE</w:t>
            </w:r>
          </w:p>
        </w:tc>
        <w:tc>
          <w:tcPr>
            <w:tcW w:type="dxa" w:w="1440"/>
            <w:tcW w:w="740" w:type="dxa"/>
          </w:tcPr>
          <w:p>
            <w:r>
              <w:rPr>
                <w:sz w:val="15"/>
              </w:rPr>
              <w:t>—</w:t>
            </w:r>
          </w:p>
        </w:tc>
        <w:tc>
          <w:tcPr>
            <w:tcW w:type="dxa" w:w="1440"/>
            <w:tcW w:w="493" w:type="dxa"/>
          </w:tcPr>
          <w:p>
            <w:pPr>
              <w:jc w:val="center"/>
            </w:pPr>
            <w:r>
              <w:rPr>
                <w:sz w:val="15"/>
              </w:rPr>
              <w:t>N/A</w:t>
            </w:r>
          </w:p>
        </w:tc>
        <w:tc>
          <w:tcPr>
            <w:tcW w:type="dxa" w:w="1440"/>
            <w:tcW w:w="721" w:type="dxa"/>
          </w:tcPr>
          <w:p>
            <w:pPr>
              <w:jc w:val="center"/>
            </w:pPr>
            <w:r>
              <w:rPr>
                <w:sz w:val="15"/>
              </w:rPr>
              <w:t>N/A</w:t>
            </w:r>
          </w:p>
        </w:tc>
        <w:tc>
          <w:tcPr>
            <w:tcW w:type="dxa" w:w="1440"/>
            <w:tcW w:w="1945" w:type="dxa"/>
          </w:tcPr>
          <w:p>
            <w:r>
              <w:rPr>
                <w:sz w:val="15"/>
              </w:rPr>
              <w:t>D8 removed per GCF comment 2.1.1; absorbed into Outputs 1.1.2 &amp; 1.2.1</w:t>
            </w:r>
          </w:p>
        </w:tc>
        <w:tc>
          <w:tcPr>
            <w:tcW w:type="dxa" w:w="1440"/>
            <w:tcW w:w="2343" w:type="dxa"/>
          </w:tcPr>
          <w:p>
            <w:r>
              <w:rPr>
                <w:sz w:val="15"/>
              </w:rPr>
              <w:t>D8 — Country Programme (removed)</w:t>
            </w:r>
          </w:p>
        </w:tc>
        <w:tc>
          <w:tcPr>
            <w:tcW w:type="dxa" w:w="1440"/>
            <w:tcW w:w="807" w:type="dxa"/>
          </w:tcPr>
          <w:p>
            <w:pPr>
              <w:jc w:val="center"/>
            </w:pPr>
            <w:r>
              <w:rPr>
                <w:sz w:val="15"/>
              </w:rPr>
              <w:t>0</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Outcome 2.2 — high-quality CNs/FPs. Baseline 0 → target 3 submission-ready FPs; GCF screening status reported separately</w:t>
            </w:r>
          </w:p>
        </w:tc>
        <w:tc>
          <w:tcPr>
            <w:tcW w:type="dxa" w:w="1440"/>
            <w:tcW w:w="1470" w:type="dxa"/>
          </w:tcPr>
          <w:p>
            <w:pPr>
              <w:spacing w:after="80" w:line="252" w:lineRule="auto"/>
            </w:pPr>
            <w:r>
              <w:rPr>
                <w:rFonts w:ascii="Arial" w:hAnsi="Arial"/>
                <w:b w:val="0"/>
                <w:i w:val="0"/>
                <w:sz w:val="14"/>
              </w:rPr>
              <w:t>Output 2.2.1 — enhanced CN/FP-development capacity</w:t>
            </w:r>
          </w:p>
        </w:tc>
        <w:tc>
          <w:tcPr>
            <w:tcW w:type="dxa" w:w="1440"/>
            <w:tcW w:w="2229" w:type="dxa"/>
          </w:tcPr>
          <w:p>
            <w:pPr>
              <w:spacing w:after="80" w:line="252" w:lineRule="auto"/>
            </w:pPr>
            <w:r>
              <w:rPr>
                <w:rFonts w:ascii="Arial" w:hAnsi="Arial"/>
                <w:b w:val="0"/>
                <w:i w:val="0"/>
                <w:sz w:val="14"/>
              </w:rPr>
              <w:t>OI 2.2.1.1 Primary: studies, assessments and actions supporting investment-grade CNs/FPs; supplemental: project-preparation participants reporting enhanced capacity</w:t>
            </w:r>
          </w:p>
        </w:tc>
        <w:tc>
          <w:tcPr>
            <w:tcW w:type="dxa" w:w="1440"/>
            <w:tcW w:w="740" w:type="dxa"/>
          </w:tcPr>
          <w:p>
            <w:pPr>
              <w:spacing w:after="80" w:line="252" w:lineRule="auto"/>
            </w:pPr>
            <w:r>
              <w:rPr>
                <w:rFonts w:ascii="Arial" w:hAnsi="Arial"/>
                <w:b w:val="0"/>
                <w:i w:val="0"/>
                <w:sz w:val="14"/>
              </w:rPr>
              <w:t>No. studies/actions; participants; percentage</w:t>
            </w:r>
          </w:p>
        </w:tc>
        <w:tc>
          <w:tcPr>
            <w:tcW w:type="dxa" w:w="1440"/>
            <w:tcW w:w="493" w:type="dxa"/>
          </w:tcPr>
          <w:p>
            <w:pPr>
              <w:spacing w:after="80" w:line="252" w:lineRule="auto"/>
              <w:jc w:val="center"/>
            </w:pPr>
            <w:r>
              <w:rPr>
                <w:rFonts w:ascii="Arial" w:hAnsi="Arial"/>
                <w:b w:val="0"/>
                <w:i w:val="0"/>
                <w:sz w:val="14"/>
              </w:rPr>
              <w:t>0</w:t>
            </w:r>
          </w:p>
        </w:tc>
        <w:tc>
          <w:tcPr>
            <w:tcW w:type="dxa" w:w="1440"/>
            <w:tcW w:w="721" w:type="dxa"/>
          </w:tcPr>
          <w:p>
            <w:pPr>
              <w:spacing w:after="80" w:line="252" w:lineRule="auto"/>
              <w:jc w:val="center"/>
            </w:pPr>
            <w:r>
              <w:rPr>
                <w:rFonts w:ascii="Arial" w:hAnsi="Arial"/>
                <w:b w:val="0"/>
                <w:i w:val="0"/>
                <w:sz w:val="14"/>
              </w:rPr>
              <w:t>≥5 studies/assessments; 60 participants; ≥70% reporting enhanced capacity</w:t>
            </w:r>
          </w:p>
        </w:tc>
        <w:tc>
          <w:tcPr>
            <w:tcW w:type="dxa" w:w="1440"/>
            <w:tcW w:w="1945" w:type="dxa"/>
          </w:tcPr>
          <w:p>
            <w:pPr>
              <w:spacing w:after="80" w:line="252" w:lineRule="auto"/>
            </w:pPr>
            <w:r>
              <w:rPr>
                <w:rFonts w:ascii="Arial" w:hAnsi="Arial"/>
                <w:b w:val="0"/>
                <w:i w:val="0"/>
                <w:sz w:val="14"/>
              </w:rPr>
              <w:t>Study type; sex; stakeholder group</w:t>
            </w:r>
          </w:p>
        </w:tc>
        <w:tc>
          <w:tcPr>
            <w:tcW w:type="dxa" w:w="1440"/>
            <w:tcW w:w="2343" w:type="dxa"/>
          </w:tcPr>
          <w:p>
            <w:pPr>
              <w:spacing w:after="80" w:line="252" w:lineRule="auto"/>
            </w:pPr>
            <w:r>
              <w:rPr>
                <w:rFonts w:ascii="Arial" w:hAnsi="Arial"/>
                <w:b w:val="0"/>
                <w:i w:val="0"/>
                <w:sz w:val="14"/>
              </w:rPr>
              <w:t>D9-D10 supporting studies and capacity records</w:t>
            </w:r>
          </w:p>
        </w:tc>
        <w:tc>
          <w:tcPr>
            <w:tcW w:type="dxa" w:w="1440"/>
            <w:tcW w:w="807" w:type="dxa"/>
          </w:tcPr>
          <w:p>
            <w:pPr>
              <w:jc w:val="center"/>
            </w:pPr>
            <w:r>
              <w:rPr>
                <w:sz w:val="15"/>
              </w:rPr>
              <w:t>(in D9/D10)</w:t>
            </w:r>
          </w:p>
        </w:tc>
      </w:tr>
      <w:tr>
        <w:tc>
          <w:tcPr>
            <w:tcW w:type="dxa" w:w="1440"/>
            <w:tcW w:w="1423" w:type="dxa"/>
          </w:tcPr>
          <w:p>
            <w:r>
              <w:rPr>
                <w:sz w:val="15"/>
              </w:rPr>
            </w:r>
          </w:p>
        </w:tc>
        <w:tc>
          <w:tcPr>
            <w:tcW w:type="dxa" w:w="1440"/>
            <w:tcW w:w="2229" w:type="dxa"/>
          </w:tcPr>
          <w:p>
            <w:r>
              <w:rPr>
                <w:sz w:val="15"/>
              </w:rPr>
            </w:r>
          </w:p>
        </w:tc>
        <w:tc>
          <w:tcPr>
            <w:tcW w:type="dxa" w:w="1440"/>
            <w:tcW w:w="1470" w:type="dxa"/>
          </w:tcPr>
          <w:p>
            <w:pPr>
              <w:spacing w:after="80" w:line="252" w:lineRule="auto"/>
            </w:pPr>
            <w:r>
              <w:rPr>
                <w:rFonts w:ascii="Arial" w:hAnsi="Arial"/>
                <w:b w:val="0"/>
                <w:i w:val="0"/>
                <w:sz w:val="14"/>
              </w:rPr>
              <w:t>Output 2.2.2 — investment-grade CNs and submission-ready FPs aligned with national priorities</w:t>
            </w:r>
          </w:p>
        </w:tc>
        <w:tc>
          <w:tcPr>
            <w:tcW w:type="dxa" w:w="1440"/>
            <w:tcW w:w="2229" w:type="dxa"/>
          </w:tcPr>
          <w:p>
            <w:pPr>
              <w:spacing w:after="80" w:line="252" w:lineRule="auto"/>
            </w:pPr>
            <w:r>
              <w:rPr>
                <w:rFonts w:ascii="Arial" w:hAnsi="Arial"/>
                <w:b w:val="0"/>
                <w:i w:val="0"/>
                <w:sz w:val="14"/>
              </w:rPr>
              <w:t>OI 2.2.2.1 Number of CNs prepared and NDA-validated; number of submission-ready FPs prepared and NDA-validated</w:t>
            </w:r>
          </w:p>
        </w:tc>
        <w:tc>
          <w:tcPr>
            <w:tcW w:type="dxa" w:w="1440"/>
            <w:tcW w:w="740" w:type="dxa"/>
          </w:tcPr>
          <w:p>
            <w:r>
              <w:rPr>
                <w:sz w:val="15"/>
              </w:rPr>
              <w:t>No. of CNs / FPs</w:t>
            </w:r>
          </w:p>
        </w:tc>
        <w:tc>
          <w:tcPr>
            <w:tcW w:type="dxa" w:w="1440"/>
            <w:tcW w:w="493" w:type="dxa"/>
          </w:tcPr>
          <w:p>
            <w:pPr>
              <w:jc w:val="center"/>
            </w:pPr>
            <w:r>
              <w:rPr>
                <w:sz w:val="15"/>
              </w:rPr>
              <w:t>0</w:t>
            </w:r>
          </w:p>
        </w:tc>
        <w:tc>
          <w:tcPr>
            <w:tcW w:type="dxa" w:w="1440"/>
            <w:tcW w:w="721" w:type="dxa"/>
          </w:tcPr>
          <w:p>
            <w:pPr>
              <w:spacing w:after="80" w:line="252" w:lineRule="auto"/>
              <w:jc w:val="center"/>
            </w:pPr>
            <w:r>
              <w:rPr>
                <w:rFonts w:ascii="Arial" w:hAnsi="Arial"/>
                <w:b w:val="0"/>
                <w:i w:val="0"/>
                <w:sz w:val="14"/>
              </w:rPr>
              <w:t>5 CNs; 3 FPs</w:t>
            </w:r>
          </w:p>
        </w:tc>
        <w:tc>
          <w:tcPr>
            <w:tcW w:type="dxa" w:w="1440"/>
            <w:tcW w:w="1945" w:type="dxa"/>
          </w:tcPr>
          <w:p>
            <w:pPr>
              <w:spacing w:after="80" w:line="252" w:lineRule="auto"/>
            </w:pPr>
            <w:r>
              <w:rPr>
                <w:rFonts w:ascii="Arial" w:hAnsi="Arial"/>
                <w:b w:val="0"/>
                <w:i w:val="0"/>
                <w:sz w:val="14"/>
              </w:rPr>
              <w:t>Product type; NDA-validation status; GCF screening status reported separately</w:t>
            </w:r>
          </w:p>
        </w:tc>
        <w:tc>
          <w:tcPr>
            <w:tcW w:type="dxa" w:w="1440"/>
            <w:tcW w:w="2343" w:type="dxa"/>
          </w:tcPr>
          <w:p>
            <w:r>
              <w:rPr>
                <w:sz w:val="15"/>
              </w:rPr>
              <w:t>D9 — Concept Notes; D10 — Funding Proposals</w:t>
            </w:r>
          </w:p>
        </w:tc>
        <w:tc>
          <w:tcPr>
            <w:tcW w:type="dxa" w:w="1440"/>
            <w:tcW w:w="807" w:type="dxa"/>
          </w:tcPr>
          <w:p>
            <w:pPr>
              <w:jc w:val="center"/>
            </w:pPr>
            <w:r>
              <w:rPr>
                <w:sz w:val="15"/>
              </w:rPr>
              <w:t>228k / 700k</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Outcome 2.3 — enhanced oversight processes/systems. OI 2.3.1 (scaler): baseline 1 → target 3</w:t>
            </w:r>
          </w:p>
        </w:tc>
        <w:tc>
          <w:tcPr>
            <w:tcW w:type="dxa" w:w="1440"/>
            <w:tcW w:w="1470" w:type="dxa"/>
          </w:tcPr>
          <w:p>
            <w:r>
              <w:rPr>
                <w:sz w:val="15"/>
              </w:rPr>
              <w:t>Output 2.3.1 — enhanced NDA/DAE systems</w:t>
            </w:r>
          </w:p>
        </w:tc>
        <w:tc>
          <w:tcPr>
            <w:tcW w:type="dxa" w:w="1440"/>
            <w:tcW w:w="2229" w:type="dxa"/>
          </w:tcPr>
          <w:p>
            <w:pPr>
              <w:spacing w:after="80" w:line="252" w:lineRule="auto"/>
            </w:pPr>
            <w:r>
              <w:rPr>
                <w:rFonts w:ascii="Arial" w:hAnsi="Arial"/>
                <w:b w:val="0"/>
                <w:i w:val="0"/>
                <w:sz w:val="14"/>
              </w:rPr>
              <w:t>OI 2.3.1.1 Primary: institutions reporting enhanced processes/systems; supplemental: systems/process packages established or strengthened</w:t>
            </w:r>
          </w:p>
        </w:tc>
        <w:tc>
          <w:tcPr>
            <w:tcW w:type="dxa" w:w="1440"/>
            <w:tcW w:w="740" w:type="dxa"/>
          </w:tcPr>
          <w:p>
            <w:pPr>
              <w:spacing w:after="80" w:line="252" w:lineRule="auto"/>
            </w:pPr>
            <w:r>
              <w:rPr>
                <w:rFonts w:ascii="Arial" w:hAnsi="Arial"/>
                <w:b w:val="0"/>
                <w:i w:val="0"/>
                <w:sz w:val="14"/>
              </w:rPr>
              <w:t>No. institutions; no. systems/process packages</w:t>
            </w:r>
          </w:p>
        </w:tc>
        <w:tc>
          <w:tcPr>
            <w:tcW w:type="dxa" w:w="1440"/>
            <w:tcW w:w="493" w:type="dxa"/>
          </w:tcPr>
          <w:p>
            <w:pPr>
              <w:jc w:val="center"/>
            </w:pPr>
            <w:r>
              <w:rPr>
                <w:sz w:val="15"/>
              </w:rPr>
              <w:t>0</w:t>
            </w:r>
          </w:p>
        </w:tc>
        <w:tc>
          <w:tcPr>
            <w:tcW w:type="dxa" w:w="1440"/>
            <w:tcW w:w="721" w:type="dxa"/>
          </w:tcPr>
          <w:p>
            <w:pPr>
              <w:spacing w:after="80" w:line="252" w:lineRule="auto"/>
              <w:jc w:val="center"/>
            </w:pPr>
            <w:r>
              <w:rPr>
                <w:rFonts w:ascii="Arial" w:hAnsi="Arial"/>
                <w:b w:val="0"/>
                <w:i w:val="0"/>
                <w:sz w:val="14"/>
              </w:rPr>
              <w:t>3 institutions; 3 systems/process packages</w:t>
            </w:r>
          </w:p>
        </w:tc>
        <w:tc>
          <w:tcPr>
            <w:tcW w:type="dxa" w:w="1440"/>
            <w:tcW w:w="1945" w:type="dxa"/>
          </w:tcPr>
          <w:p>
            <w:pPr>
              <w:spacing w:after="80" w:line="252" w:lineRule="auto"/>
            </w:pPr>
            <w:r>
              <w:rPr>
                <w:rFonts w:ascii="Arial" w:hAnsi="Arial"/>
                <w:b w:val="0"/>
                <w:i w:val="0"/>
                <w:sz w:val="14"/>
              </w:rPr>
              <w:t>Institution type; system/process type</w:t>
            </w:r>
          </w:p>
        </w:tc>
        <w:tc>
          <w:tcPr>
            <w:tcW w:type="dxa" w:w="1440"/>
            <w:tcW w:w="2343" w:type="dxa"/>
          </w:tcPr>
          <w:p>
            <w:r>
              <w:rPr>
                <w:sz w:val="15"/>
              </w:rPr>
              <w:t>D11 — Status report on NDA/DAE oversight capacity</w:t>
            </w:r>
          </w:p>
        </w:tc>
        <w:tc>
          <w:tcPr>
            <w:tcW w:type="dxa" w:w="1440"/>
            <w:tcW w:w="807" w:type="dxa"/>
          </w:tcPr>
          <w:p>
            <w:pPr>
              <w:jc w:val="center"/>
            </w:pPr>
            <w:r>
              <w:rPr>
                <w:sz w:val="15"/>
              </w:rPr>
              <w:t>392,000</w:t>
            </w:r>
          </w:p>
        </w:tc>
      </w:tr>
      <w:tr>
        <w:tc>
          <w:tcPr>
            <w:tcW w:type="dxa" w:w="14400"/>
            <w:gridSpan w:val="10"/>
            <w:shd w:val="clear" w:fill="2E75B6"/>
          </w:tcPr>
          <w:p>
            <w:r>
              <w:rPr>
                <w:b/>
                <w:color w:val="FFFFFF"/>
                <w:sz w:val="18"/>
              </w:rPr>
              <w:t>Objective 3: Knowledge-sharing &amp; learning for national &amp; regional cooperation  —  USD 220,000 (10%)</w:t>
            </w:r>
          </w:p>
        </w:tc>
      </w:tr>
      <w:tr>
        <w:tc>
          <w:tcPr>
            <w:tcW w:type="dxa" w:w="1440"/>
            <w:tcW w:w="1423" w:type="dxa"/>
          </w:tcPr>
          <w:p>
            <w:r>
              <w:rPr>
                <w:sz w:val="15"/>
              </w:rPr>
            </w:r>
          </w:p>
        </w:tc>
        <w:tc>
          <w:tcPr>
            <w:tcW w:type="dxa" w:w="1440"/>
            <w:tcW w:w="2229" w:type="dxa"/>
          </w:tcPr>
          <w:p>
            <w:pPr>
              <w:spacing w:after="80" w:line="252" w:lineRule="auto"/>
            </w:pPr>
            <w:r>
              <w:rPr>
                <w:rFonts w:ascii="Arial" w:hAnsi="Arial"/>
                <w:b w:val="0"/>
                <w:i w:val="0"/>
                <w:sz w:val="14"/>
              </w:rPr>
              <w:t>Outcome 3.1 — use of knowledge products. OI 3.1.1 (scaler): baseline 1 → target 3</w:t>
            </w:r>
          </w:p>
        </w:tc>
        <w:tc>
          <w:tcPr>
            <w:tcW w:type="dxa" w:w="1440"/>
            <w:tcW w:w="1470" w:type="dxa"/>
          </w:tcPr>
          <w:p>
            <w:r>
              <w:rPr>
                <w:sz w:val="15"/>
              </w:rPr>
              <w:t>Output 3.1.1 — knowledge products generated &amp; disseminated</w:t>
            </w:r>
          </w:p>
        </w:tc>
        <w:tc>
          <w:tcPr>
            <w:tcW w:type="dxa" w:w="1440"/>
            <w:tcW w:w="2229" w:type="dxa"/>
          </w:tcPr>
          <w:p>
            <w:r>
              <w:rPr>
                <w:sz w:val="15"/>
              </w:rPr>
              <w:t>OI 3.1.1.1 Number of inclusive knowledge products &amp; resources</w:t>
            </w:r>
          </w:p>
        </w:tc>
        <w:tc>
          <w:tcPr>
            <w:tcW w:type="dxa" w:w="1440"/>
            <w:tcW w:w="740" w:type="dxa"/>
          </w:tcPr>
          <w:p>
            <w:r>
              <w:rPr>
                <w:sz w:val="15"/>
              </w:rPr>
              <w:t>No. of products</w:t>
            </w:r>
          </w:p>
        </w:tc>
        <w:tc>
          <w:tcPr>
            <w:tcW w:type="dxa" w:w="1440"/>
            <w:tcW w:w="493" w:type="dxa"/>
          </w:tcPr>
          <w:p>
            <w:pPr>
              <w:jc w:val="center"/>
            </w:pPr>
            <w:r>
              <w:rPr>
                <w:sz w:val="15"/>
              </w:rPr>
              <w:t>0</w:t>
            </w:r>
          </w:p>
        </w:tc>
        <w:tc>
          <w:tcPr>
            <w:tcW w:type="dxa" w:w="1440"/>
            <w:tcW w:w="721" w:type="dxa"/>
          </w:tcPr>
          <w:p>
            <w:pPr>
              <w:jc w:val="center"/>
            </w:pPr>
            <w:r>
              <w:rPr>
                <w:sz w:val="15"/>
              </w:rPr>
              <w:t>≥5</w:t>
            </w:r>
          </w:p>
        </w:tc>
        <w:tc>
          <w:tcPr>
            <w:tcW w:type="dxa" w:w="1440"/>
            <w:tcW w:w="1945" w:type="dxa"/>
          </w:tcPr>
          <w:p>
            <w:r>
              <w:rPr>
                <w:sz w:val="15"/>
              </w:rPr>
              <w:t>Strategic framework: NDC/NAP/LTS-related</w:t>
            </w:r>
          </w:p>
        </w:tc>
        <w:tc>
          <w:tcPr>
            <w:tcW w:type="dxa" w:w="1440"/>
            <w:tcW w:w="2343" w:type="dxa"/>
          </w:tcPr>
          <w:p>
            <w:r>
              <w:rPr>
                <w:sz w:val="15"/>
              </w:rPr>
              <w:t>D12 — Knowledge Products / Compendium</w:t>
            </w:r>
          </w:p>
        </w:tc>
        <w:tc>
          <w:tcPr>
            <w:tcW w:type="dxa" w:w="1440"/>
            <w:tcW w:w="807" w:type="dxa"/>
          </w:tcPr>
          <w:p>
            <w:pPr>
              <w:jc w:val="center"/>
            </w:pPr>
            <w:r>
              <w:rPr>
                <w:sz w:val="15"/>
              </w:rPr>
              <w:t>110,000</w:t>
            </w:r>
          </w:p>
        </w:tc>
      </w:tr>
      <w:tr>
        <w:tc>
          <w:tcPr>
            <w:tcW w:type="dxa" w:w="1440"/>
            <w:tcW w:w="1423" w:type="dxa"/>
          </w:tcPr>
          <w:p>
            <w:r>
              <w:rPr>
                <w:sz w:val="15"/>
              </w:rPr>
            </w:r>
          </w:p>
        </w:tc>
        <w:tc>
          <w:tcPr>
            <w:tcW w:type="dxa" w:w="1440"/>
            <w:tcW w:w="2229" w:type="dxa"/>
          </w:tcPr>
          <w:p>
            <w:r>
              <w:rPr>
                <w:sz w:val="15"/>
              </w:rPr>
            </w:r>
          </w:p>
        </w:tc>
        <w:tc>
          <w:tcPr>
            <w:tcW w:type="dxa" w:w="1440"/>
            <w:tcW w:w="1470" w:type="dxa"/>
          </w:tcPr>
          <w:p>
            <w:r>
              <w:rPr>
                <w:sz w:val="15"/>
              </w:rPr>
            </w:r>
          </w:p>
        </w:tc>
        <w:tc>
          <w:tcPr>
            <w:tcW w:type="dxa" w:w="1440"/>
            <w:tcW w:w="2229" w:type="dxa"/>
          </w:tcPr>
          <w:p>
            <w:r>
              <w:rPr>
                <w:sz w:val="15"/>
              </w:rPr>
              <w:t>OI 3.1.1.2 Number of inclusive knowledge-sharing events &amp; platforms</w:t>
            </w:r>
          </w:p>
        </w:tc>
        <w:tc>
          <w:tcPr>
            <w:tcW w:type="dxa" w:w="1440"/>
            <w:tcW w:w="740" w:type="dxa"/>
          </w:tcPr>
          <w:p>
            <w:r>
              <w:rPr>
                <w:sz w:val="15"/>
              </w:rPr>
              <w:t>No. of events/platforms</w:t>
            </w:r>
          </w:p>
        </w:tc>
        <w:tc>
          <w:tcPr>
            <w:tcW w:type="dxa" w:w="1440"/>
            <w:tcW w:w="493" w:type="dxa"/>
          </w:tcPr>
          <w:p>
            <w:pPr>
              <w:jc w:val="center"/>
            </w:pPr>
            <w:r>
              <w:rPr>
                <w:sz w:val="15"/>
              </w:rPr>
              <w:t>0</w:t>
            </w:r>
          </w:p>
        </w:tc>
        <w:tc>
          <w:tcPr>
            <w:tcW w:type="dxa" w:w="1440"/>
            <w:tcW w:w="721" w:type="dxa"/>
          </w:tcPr>
          <w:p>
            <w:pPr>
              <w:jc w:val="center"/>
            </w:pPr>
            <w:r>
              <w:rPr>
                <w:sz w:val="15"/>
              </w:rPr>
              <w:t>≥4 + 1</w:t>
            </w:r>
          </w:p>
        </w:tc>
        <w:tc>
          <w:tcPr>
            <w:tcW w:type="dxa" w:w="1440"/>
            <w:tcW w:w="1945" w:type="dxa"/>
          </w:tcPr>
          <w:p>
            <w:r>
              <w:rPr>
                <w:sz w:val="15"/>
              </w:rPr>
              <w:t>Event type; platform</w:t>
            </w:r>
          </w:p>
        </w:tc>
        <w:tc>
          <w:tcPr>
            <w:tcW w:type="dxa" w:w="1440"/>
            <w:tcW w:w="2343" w:type="dxa"/>
          </w:tcPr>
          <w:p>
            <w:r>
              <w:rPr>
                <w:sz w:val="15"/>
              </w:rPr>
              <w:t>D13 — Knowledge-sharing events &amp; platform</w:t>
            </w:r>
          </w:p>
        </w:tc>
        <w:tc>
          <w:tcPr>
            <w:tcW w:type="dxa" w:w="1440"/>
            <w:tcW w:w="807" w:type="dxa"/>
          </w:tcPr>
          <w:p>
            <w:pPr>
              <w:jc w:val="center"/>
            </w:pPr>
            <w:r>
              <w:rPr>
                <w:sz w:val="15"/>
              </w:rPr>
              <w:t>65,000</w:t>
            </w:r>
          </w:p>
        </w:tc>
      </w:tr>
      <w:tr>
        <w:tc>
          <w:tcPr>
            <w:tcW w:type="dxa" w:w="1440"/>
            <w:tcW w:w="1423" w:type="dxa"/>
          </w:tcPr>
          <w:p>
            <w:r>
              <w:rPr>
                <w:sz w:val="15"/>
              </w:rPr>
            </w:r>
          </w:p>
        </w:tc>
        <w:tc>
          <w:tcPr>
            <w:tcW w:type="dxa" w:w="1440"/>
            <w:tcW w:w="2229" w:type="dxa"/>
          </w:tcPr>
          <w:p>
            <w:r>
              <w:rPr>
                <w:sz w:val="15"/>
              </w:rPr>
              <w:t>Outcome 3.2 — regional/South-South cooperation. OI 3.2.1: baseline 0 → target 2</w:t>
            </w:r>
          </w:p>
        </w:tc>
        <w:tc>
          <w:tcPr>
            <w:tcW w:type="dxa" w:w="1440"/>
            <w:tcW w:w="1470" w:type="dxa"/>
          </w:tcPr>
          <w:p>
            <w:r>
              <w:rPr>
                <w:sz w:val="15"/>
              </w:rPr>
              <w:t>Output 3.2.1 — regional/South-South partnerships established</w:t>
            </w:r>
          </w:p>
        </w:tc>
        <w:tc>
          <w:tcPr>
            <w:tcW w:type="dxa" w:w="1440"/>
            <w:tcW w:w="2229" w:type="dxa"/>
          </w:tcPr>
          <w:p>
            <w:r>
              <w:rPr>
                <w:sz w:val="15"/>
              </w:rPr>
              <w:t>OI 3.2.1.1 Number of regional/South-South partnerships, programmes, policies, MOUs, mechanisms established</w:t>
            </w:r>
          </w:p>
        </w:tc>
        <w:tc>
          <w:tcPr>
            <w:tcW w:type="dxa" w:w="1440"/>
            <w:tcW w:w="740" w:type="dxa"/>
          </w:tcPr>
          <w:p>
            <w:r>
              <w:rPr>
                <w:sz w:val="15"/>
              </w:rPr>
              <w:t>No. of partnerships</w:t>
            </w:r>
          </w:p>
        </w:tc>
        <w:tc>
          <w:tcPr>
            <w:tcW w:type="dxa" w:w="1440"/>
            <w:tcW w:w="493" w:type="dxa"/>
          </w:tcPr>
          <w:p>
            <w:pPr>
              <w:jc w:val="center"/>
            </w:pPr>
            <w:r>
              <w:rPr>
                <w:sz w:val="15"/>
              </w:rPr>
              <w:t>0</w:t>
            </w:r>
          </w:p>
        </w:tc>
        <w:tc>
          <w:tcPr>
            <w:tcW w:type="dxa" w:w="1440"/>
            <w:tcW w:w="721" w:type="dxa"/>
          </w:tcPr>
          <w:p>
            <w:pPr>
              <w:jc w:val="center"/>
            </w:pPr>
            <w:r>
              <w:rPr>
                <w:sz w:val="15"/>
              </w:rPr>
              <w:t>2 (Morocco, Senegal)</w:t>
            </w:r>
          </w:p>
        </w:tc>
        <w:tc>
          <w:tcPr>
            <w:tcW w:type="dxa" w:w="1440"/>
            <w:tcW w:w="1945" w:type="dxa"/>
          </w:tcPr>
          <w:p>
            <w:r>
              <w:rPr>
                <w:sz w:val="15"/>
              </w:rPr>
              <w:t>Status: Establish/Strengthen; partnerships/programmes/policies</w:t>
            </w:r>
          </w:p>
        </w:tc>
        <w:tc>
          <w:tcPr>
            <w:tcW w:type="dxa" w:w="1440"/>
            <w:tcW w:w="2343" w:type="dxa"/>
          </w:tcPr>
          <w:p>
            <w:r>
              <w:rPr>
                <w:sz w:val="15"/>
              </w:rPr>
              <w:t>D14 — Status report on regional/South-South partnerships</w:t>
            </w:r>
          </w:p>
        </w:tc>
        <w:tc>
          <w:tcPr>
            <w:tcW w:type="dxa" w:w="1440"/>
            <w:tcW w:w="807" w:type="dxa"/>
          </w:tcPr>
          <w:p>
            <w:pPr>
              <w:jc w:val="center"/>
            </w:pPr>
            <w:r>
              <w:rPr>
                <w:sz w:val="15"/>
              </w:rPr>
              <w:t>45,000</w:t>
            </w:r>
          </w:p>
        </w:tc>
      </w:tr>
    </w:tbl>
    <w:p>
      <w:pPr>
        <w:spacing w:after="40"/>
      </w:pPr>
      <w:r>
        <w:rPr>
          <w:b w:val="0"/>
          <w:i w:val="0"/>
          <w:sz w:val="16"/>
        </w:rPr>
      </w:r>
    </w:p>
    <w:p>
      <w:pPr>
        <w:spacing w:after="120"/>
      </w:pPr>
      <w:r>
        <w:rPr>
          <w:b/>
          <w:i w:val="0"/>
          <w:sz w:val="17"/>
        </w:rPr>
        <w:t>Support costs: Independent evaluation USD 60,000 · PMC USD 168,000 (7.43%, ≤7.5%) · Contingency USD 67,800 (3%) · Delivery-partner fee USD 124,790 (5%) · TOTAL USD 2,620,590.</w:t>
      </w:r>
    </w:p>
    <w:p>
      <w:pPr>
        <w:spacing w:after="80" w:line="252" w:lineRule="auto"/>
      </w:pPr>
      <w:r>
        <w:rPr>
          <w:rFonts w:ascii="Arial" w:hAnsi="Arial"/>
          <w:b w:val="0"/>
          <w:i w:val="0"/>
          <w:sz w:val="17"/>
        </w:rPr>
        <w:t>Notes: Aligned to the Revised RRMF core indicators. Outcome indicators use the applicable scaler; output indicators use validated absolute or percentage targets. Canonical targets are reconciled with the proposal, GPP mapping and budget. GCF screening or approval is reported only when formally confirmed. D8 remains removed and unbudgeted per GCF comment 2.1.1.</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