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Ray’sStream Music Publishing Administration Agreement</w:t>
      </w:r>
    </w:p>
    <w:p>
      <w:r>
        <w:t>DRAFT FOR LEGAL REVIEW — NOT READY FOR SIGNATURE</w:t>
      </w:r>
    </w:p>
    <w:p>
      <w:r>
        <w:t>This reusable draft is for other songwriters entering an agreement with Raymond Lee Robinson, doing business as Ray’sStream. It provides worldwide exclusive administration of specifically listed musical compositions and ownership shares. Each songwriter retains copyright ownership. The agreed commercial terms are a ten-year term and a 40% administration fee on eligible publishing receipts, with 60% payable to the songwriter.</w:t>
      </w:r>
    </w:p>
    <w:p>
      <w:pPr>
        <w:pStyle w:val="Heading1"/>
      </w:pPr>
      <w:r>
        <w:t>Review before signing</w:t>
      </w:r>
    </w:p>
    <w:p>
      <w:r>
        <w:t>The confirmed terms are the Administrator’s legal name, worldwide territory, ten-year term, 40% / 60% split, retained ownership, and exclusivity limited to listed songs and shares. The remaining provisions below are proposed terms for discussion. Fill every bracketed field and have qualified music counsel review the agreement before removing this draft notice or signing. Confirm applicable business registrations and collection arrangements.</w:t>
      </w:r>
    </w:p>
    <w:p>
      <w:r>
        <w:t>Decisions still required for each agreement: effective and expiration dates; songwriter identity; catalog and ownership shares; existing publishing and collection mandates; registration capacity; governing law and courts; and the proposed approval, termination, and collection-tail provisions. Payment within 30 days after receipt of eligible royalties and the Administrator’s notice email have been selected; Hawaii governing law is proposed for review. Worldwide territory does not itself establish operational collection arrangements in every country.</w:t>
      </w:r>
    </w:p>
    <w:p>
      <w:pPr>
        <w:pStyle w:val="Heading1"/>
      </w:pPr>
      <w:r>
        <w:t>1 Parties and effective date</w:t>
      </w:r>
    </w:p>
    <w:p>
      <w:r>
        <w:t>Administrator: Raymond Lee Robinson, doing business as Ray’sStream, based in Kona, Hawaiʻi, with notice mailing address [ADMINISTRATOR MAILING ADDRESS] and notice email greentreerecord@gmail.com. Songwriter: [FULL LEGAL NAME / ENTITY AND AUTHORIZED SIGNER], with notice address [ADDRESS] and notice email [EMAIL]. Together, the Parties. Effective date: [DATE AFTER BOTH PARTIES SIGN].</w:t>
      </w:r>
    </w:p>
    <w:p>
      <w:pPr>
        <w:pStyle w:val="Heading1"/>
      </w:pPr>
      <w:r>
        <w:t>2 Catalog and territory</w:t>
      </w:r>
    </w:p>
    <w:p>
      <w:r>
        <w:t>Covered Works means only the compositions identified in Schedule A and only the ownership or administration shares expressly stated there as a percentage of the entire composition. No co-writer’s share, future composition, recording, or other work is included automatically. Additions require a written amendment signed by both Parties. Territory: worldwide, subject to the territorial restrictions and existing mandates expressly disclosed in Schedule A.</w:t>
      </w:r>
    </w:p>
    <w:p>
      <w:pPr>
        <w:pStyle w:val="Heading1"/>
      </w:pPr>
      <w:r>
        <w:t>3 Term and exclusivity</w:t>
      </w:r>
    </w:p>
    <w:p>
      <w:r>
        <w:t>The term begins on the Effective Date and lasts ten years, ending on [EXPIRATION DATE], unless terminated earlier under this agreement. There is no automatic renewal. Added works expire with this agreement unless a signed amendment states otherwise. During the term, Songwriter appoints Administrator as the exclusive publishing administrator for the Covered Works and covered shares in the Territory, subject to the existing mandates and exclusions disclosed in Schedule A. Songwriter may administer other works freely and retains direct receipt of royalties expressly excluded under Section 6.</w:t>
      </w:r>
    </w:p>
    <w:p>
      <w:pPr>
        <w:pStyle w:val="Heading1"/>
      </w:pPr>
      <w:r>
        <w:t>4 Ownership and limited authority</w:t>
      </w:r>
    </w:p>
    <w:p>
      <w:r>
        <w:t>Songwriter retains ownership of the Covered Works. This agreement grants administration authority, not a sale or assignment of copyright ownership, a work-made-for-hire arrangement, or control of Songwriter’s entire career. Administrator may register accurate composition and share information, issue permitted composition licenses, submit royalty claims, reconcile usage, and collect eligible publishing receipts, only within the scope of this agreement and applicable collection-society rules.</w:t>
      </w:r>
    </w:p>
    <w:p>
      <w:r>
        <w:t>No sound-recording or master rights, recording distribution, Music Shop sale commission, merchandising, name or likeness endorsement, or recording-performance royalties are granted. Administrator receives no authority over co-writer shares without separate valid authorization. Nonwaivable statutory rights remain unaffected.</w:t>
      </w:r>
    </w:p>
    <w:p>
      <w:pPr>
        <w:pStyle w:val="Heading1"/>
      </w:pPr>
      <w:r>
        <w:t>5 Services and approvals</w:t>
      </w:r>
    </w:p>
    <w:p>
      <w:r>
        <w:t>Proposed service standard: Administrator shall use commercially reasonable efforts to submit eligible registrations within 90 days after receiving complete information and necessary authorizations; identify applicable royalty sources; monitor and correct registration conflicts; pursue matched and unmatched eligible royalties; maintain records; and provide the statements and payments in Section 7. If enrollment or registration is unavailable, Administrator shall promptly disclose the obstacle and proposed remedy. No income, placement, registration acceptance, or collection amount is guaranteed.</w:t>
      </w:r>
    </w:p>
    <w:p>
      <w:r>
        <w:t>Songwriter shall provide accurate titles, writer names, splits, identifiers, contact details, existing agreements, and required tax/payment information, and reasonably assist with corrections. Administrator shall register as administrator rather than claim copyright ownership. Existing mandates must be resolved before conflicting claims are filed.</w:t>
      </w:r>
    </w:p>
    <w:p>
      <w:r>
        <w:t>Songwriter’s prior written approval is required for synchronization licenses; lyric or melody changes; adaptations and translations; samples; political advertising or endorsements; artificial-intelligence training permissions; below-market or gratis direct licenses; and direct licenses extending beyond the term. Routine mechanical and performance administration remains subject to existing society mandates and applicable law. Silence does not constitute approval. Administrator may not sign unrelated obligations or transfer copyright on Songwriter’s behalf.</w:t>
      </w:r>
    </w:p>
    <w:p>
      <w:r>
        <w:t>Administrator may use collection agents or subadministrators only with Songwriter’s prior written approval of their identity, scope, and fees. Administrator remains responsible for their work. No assignment of this agreement to another business is permitted without Songwriter’s written consent.</w:t>
      </w:r>
    </w:p>
    <w:p>
      <w:pPr>
        <w:pStyle w:val="Heading1"/>
      </w:pPr>
      <w:r>
        <w:t>6 Eligible receipts and administration fee</w:t>
      </w:r>
    </w:p>
    <w:p>
      <w:r>
        <w:t>Eligible Receipts means composition royalties and composition-license fees actually received by Administrator, or its approved agents on its behalf, attributable to the covered shares and authorized uses during the term in the Territory. This includes eligible mechanical, publisher-side public-performance, approved synchronization, and print receipts. It excludes co-writer shares, master income, Music Shop sales, advances or unrelated income, pre-term earnings unless separately authorized in a signed amendment, and royalties paid directly to Songwriter, including the performance writer’s share paid directly by a performing-rights organization. There is no claim against excluded direct payments.</w:t>
      </w:r>
    </w:p>
    <w:p>
      <w:r>
        <w:t>Administrator retains 40% of Eligible Receipts and owes Songwriter 60%. The percentage is applied before Administrator’s overhead, banking fees, agent fees, legal expenses, or other business costs; those costs come from Administrator’s 40%. Only documented refunds/reversals and legally required taxes withheld from receipts reduce the fee base. Approved agent receipts must be reported gross, including amounts withheld for agent fees. Any separate Songwriter expense requires advance written consent specifying a dollar limit and may not be deducted unilaterally.</w:t>
      </w:r>
    </w:p>
    <w:p>
      <w:r>
        <w:t>Example: $1,000 of Eligible Receipts with no permitted adjustments produces a $400 administration fee and a $600 Songwriter payment. These percentages divide collected income; they do not change composition ownership or the writer/publisher splits used by collection organizations.</w:t>
      </w:r>
    </w:p>
    <w:p>
      <w:pPr>
        <w:pStyle w:val="Heading1"/>
      </w:pPr>
      <w:r>
        <w:t>7 Accounting payments and audit</w:t>
      </w:r>
    </w:p>
    <w:p>
      <w:r>
        <w:t>Payment upon receipt: within 30 calendar days after Administrator receives Eligible Receipts, Administrator shall pay Songwriter 60% of those receipts, subject only to the permitted adjustments in Section 6, and provide an accompanying itemized statement. Receipt by an approved collection agent or subadministrator on Administrator’s behalf counts as receipt for this deadline. There is no minimum-payment threshold and no waiting until the end of a calendar quarter. Multiple receipts may be combined in one payment only if each is paid within its own 30-day deadline. Statements shall identify work, covered share, source, use period, territory, gross receipts, permitted adjustments, fee, currency conversions, and balance paid. If no Eligible Receipts are received during a calendar quarter, provide a zero-activity statement within 30 days after that quarter ends. No royalty payment is due before eligible funds are actually received; this does not excuse the agreed collection efforts or correction of misdirected receipts. Payment method: [AGREED METHOD]. Any legally required withholding from Songwriter’s payment must be separately documented; it does not increase Administrator’s fee.</w:t>
      </w:r>
    </w:p>
    <w:p>
      <w:r>
        <w:t>Administrator shall keep traceable records of Songwriter funds and supporting receipts for at least six years after the relevant statement, and longer while a notified dispute remains unresolved. Songwriter or an independent accountant may inspect relevant records once annually on 30 days’ written notice during normal business hours under reasonable confidentiality protections. Songwriter initially bears audit costs; Administrator reimburses reasonable audit costs if underpayment exceeds 5% of the audited amount due. Undisputed shortages shall be corrected within 30 days after verification. Fraud and mandatory legal rights are not waived.</w:t>
      </w:r>
    </w:p>
    <w:p>
      <w:pPr>
        <w:pStyle w:val="Heading1"/>
      </w:pPr>
      <w:r>
        <w:t>8 Existing rights and claims</w:t>
      </w:r>
    </w:p>
    <w:p>
      <w:r>
        <w:t>Songwriter represents that Songwriter controls the covered shares and has disclosed conflicting licenses, administration arrangements, samples, co-writer claims, and collection mandates. Administrator represents that it has authority to enter this agreement and will obtain required operational registrations or approvals before claiming related collections. Neither Party may represent affiliation with a society or service it does not hold.</w:t>
      </w:r>
    </w:p>
    <w:p>
      <w:r>
        <w:t>Each Party is responsible for losses caused by its own breach, negligence, or intentional misconduct, subject to applicable law. No automatic unlimited indemnity, personal guarantee beyond the named contracting Party, or unilateral settlement power is granted. Any expanded indemnity must be separately negotiated and reviewed by counsel. Administrator must obtain Songwriter’s prior written consent before commencing litigation or settling a claim affecting Songwriter’s rights.</w:t>
      </w:r>
    </w:p>
    <w:p>
      <w:pPr>
        <w:pStyle w:val="Heading1"/>
      </w:pPr>
      <w:r>
        <w:t>9 Early termination</w:t>
      </w:r>
    </w:p>
    <w:p>
      <w:r>
        <w:t>Either Party may terminate for a material breach by written notice describing the breach if it remains uncured after 30 days. Failure to pay undisputed amounts, repeated failure to account, or failure to perform the agreed administration services may constitute material breach. If a nonmonetary breach cannot reasonably be cured in 30 days, an extension requires the other Party’s written agreement and a defined completion date.</w:t>
      </w:r>
    </w:p>
    <w:p>
      <w:r>
        <w:t>Songwriter may terminate on written notice if Administrator abandons administration or remains unable to provide the agreed services for 90 consecutive days after written notice requesting restoration. The Parties may terminate at any time by mutual written agreement. These rights do not waive remedies available under governing law.</w:t>
      </w:r>
    </w:p>
    <w:p>
      <w:pPr>
        <w:pStyle w:val="Heading1"/>
      </w:pPr>
      <w:r>
        <w:t>10 Expiration and transfer of administration</w:t>
      </w:r>
    </w:p>
    <w:p>
      <w:r>
        <w:t>Upon expiration or termination, exclusivity and authority to issue new licenses cease. Within 30 days, Administrator shall notify relevant collection organizations and approved agents of the end of its mandate and provide Songwriter or the successor administrator with catalog, registration, licensing, and accounting information. Administrator shall cooperate with correction and handover and may not withhold catalog data for disputed fees.</w:t>
      </w:r>
    </w:p>
    <w:p>
      <w:r>
        <w:t>Proposed collection tail: for six months after the end date, Administrator may collect only receipts earned from authorized uses during the term and apply the same 40% / 60% split. It may not license new uses or extend the mandate. After the tail, late receipts must be forwarded to Songwriter without an administration fee, within 30 calendar days of receipt with an itemized statement. No fee applies to income earned from post-term uses. Existing approved licenses retain only the duration and rights validly granted. Accounting, audit, confidentiality, and payment duties survive as needed to complete obligations.</w:t>
      </w:r>
    </w:p>
    <w:p>
      <w:pPr>
        <w:pStyle w:val="Heading1"/>
      </w:pPr>
      <w:r>
        <w:t>11 Confidentiality notices and disputes</w:t>
      </w:r>
    </w:p>
    <w:p>
      <w:r>
        <w:t>Each Party shall protect nonpublic business, royalty, payment, and personal information and disclose it only as needed to perform the agreement, to professional advisers under confidentiality duties, or as required by law. Required disclosures should be preceded by notice when legally permitted. No bank details or tax identifiers need appear in this agreement; collect them separately through a secure process.</w:t>
      </w:r>
    </w:p>
    <w:p>
      <w:r>
        <w:t>Formal notices shall be sent to the notice email and mailing address stated in Section 1, with proof of delivery or written acknowledgment. Parties shall promptly update contact information. Before filing an ordinary contract action, the Parties shall attempt good-faith resolution for 30 days after written dispute notice; this does not prevent urgent relief or preservation of a claim before a legal deadline.</w:t>
      </w:r>
    </w:p>
    <w:p>
      <w:r>
        <w:t>Proposed governing law: State of Hawaii, United States, subject to attorney review and confirmation by both Parties. Courts and venue: [SPECIFY AFTER ATTORNEY REVIEW FOR KONA, HAWAII]. Final governing law and venue must be agreed before execution. This draft imposes no mandatory arbitration or waiver of a jury trial. Mandatory laws and nonwaivable rights remain applicable.</w:t>
      </w:r>
    </w:p>
    <w:p>
      <w:pPr>
        <w:pStyle w:val="Heading1"/>
      </w:pPr>
      <w:r>
        <w:t>12 Entire agreement and execution</w:t>
      </w:r>
    </w:p>
    <w:p>
      <w:r>
        <w:t>This agreement and signed Schedule A constitute the entire agreement for the covered administration. Changes, waivers, renewals, and additions require a writing signed by both Parties. Invalid provisions shall be severed only as permitted by law without enlarging the granted rights. The Parties act as independent contractors. Counterparts and electronic signatures may be used to the extent permitted by applicable law. Each Party has the opportunity to obtain independent legal advice.</w:t>
      </w:r>
    </w:p>
    <w:p>
      <w:pPr>
        <w:pStyle w:val="Heading1"/>
      </w:pPr>
      <w:r>
        <w:t>Signature fields for the finalized agreement</w:t>
      </w:r>
    </w:p>
    <w:p>
      <w:r>
        <w:t>Do not sign this draft. Complete the outstanding fields and legal review first.</w:t>
      </w:r>
    </w:p>
    <w:p>
      <w:r>
        <w:t>Administrator</w:t>
        <w:br/>
        <w:t>Raymond Lee Robinson, doing business as Ray’sStream</w:t>
        <w:br/>
        <w:t>Signature: ______________________________</w:t>
        <w:br/>
        <w:t>Date: __________________</w:t>
      </w:r>
    </w:p>
    <w:p>
      <w:r>
        <w:t>Songwriter</w:t>
        <w:br/>
        <w:t>Legal name: ______________________________</w:t>
        <w:br/>
        <w:t>Authorized signer and capacity if an entity: ______________________________</w:t>
        <w:br/>
        <w:t>Signature: ______________________________</w:t>
        <w:br/>
        <w:t>Date: __________________</w:t>
      </w:r>
    </w:p>
    <w:p>
      <w:pPr>
        <w:pStyle w:val="Heading1"/>
      </w:pPr>
      <w:r>
        <w:t>Schedule A Covered compositions and shares</w:t>
      </w:r>
    </w:p>
    <w:p>
      <w:r>
        <w:t>Complete a separate entry for each song. Album titles alone do not identify all covered compositions. A covered share of 50% means 50% of the entire composition, not 50% of the Songwriter’s share. Attach split sheets or other ownership support where available. No work is covered while its entry is blank.</w:t>
      </w:r>
    </w:p>
    <w:p>
      <w:r>
        <w:t>Song title and alternate titles: [COMPLETE]</w:t>
      </w:r>
    </w:p>
    <w:p>
      <w:r>
        <w:t>Songwriter legal name and performing name: [COMPLETE]</w:t>
      </w:r>
    </w:p>
    <w:p>
      <w:r>
        <w:t>All co-writers and composition ownership percentages: [COMPLETE]</w:t>
      </w:r>
    </w:p>
    <w:p>
      <w:r>
        <w:t>Songwriter share controlled and share administered under this agreement: [COMPLETE]</w:t>
      </w:r>
    </w:p>
    <w:p>
      <w:r>
        <w:t>PRO affiliation and IPI/CAE identifier; ISWC if assigned: [COMPLETE]</w:t>
      </w:r>
    </w:p>
    <w:p>
      <w:r>
        <w:t>Existing publisher, administrator, MLC or society registrations and exclusions: [COMPLETE]</w:t>
      </w:r>
    </w:p>
    <w:p>
      <w:r>
        <w:t>Territory restrictions and prior licenses; samples or disputed rights: [COMPLETE]</w:t>
      </w:r>
    </w:p>
    <w:p>
      <w:r>
        <w:t>Administrator initials: ______  Songwriter initials: ______  Date: ______</w:t>
      </w:r>
    </w:p>
    <w:p>
      <w:r>
        <w:t>Additional completed Schedule A entries may be attached and signed by both Parties. Later additions require a signed amendment.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Ray’sStream | Draft for legal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